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b/>
          <w:sz w:val="28"/>
          <w:szCs w:val="28"/>
          <w:lang w:val="en-US"/>
        </w:rPr>
      </w:pPr>
    </w:p>
    <w:p>
      <w:pPr>
        <w:widowControl/>
        <w:jc w:val="center"/>
        <w:rPr>
          <w:b/>
          <w:bCs/>
          <w:sz w:val="28"/>
          <w:szCs w:val="28"/>
        </w:rPr>
      </w:pPr>
      <w:r>
        <w:rPr>
          <w:rFonts w:hint="eastAsia"/>
          <w:b/>
          <w:bCs/>
          <w:sz w:val="28"/>
          <w:szCs w:val="28"/>
        </w:rPr>
        <w:t>常州工业职业技术学院物资采购询价单</w:t>
      </w:r>
    </w:p>
    <w:p>
      <w:pPr>
        <w:widowControl/>
        <w:jc w:val="center"/>
        <w:rPr>
          <w:b/>
          <w:bCs/>
          <w:sz w:val="21"/>
          <w:szCs w:val="21"/>
        </w:rPr>
      </w:pPr>
      <w:r>
        <w:rPr>
          <w:rFonts w:hint="eastAsia"/>
          <w:b/>
          <w:bCs/>
        </w:rPr>
        <w:t>标书编号：</w:t>
      </w:r>
      <w:r>
        <w:rPr>
          <w:rFonts w:hint="eastAsia"/>
          <w:b/>
          <w:bCs/>
          <w:lang w:val="en-US"/>
        </w:rPr>
        <w:t xml:space="preserve">CZGYX20221228 </w:t>
      </w:r>
      <w:r>
        <w:rPr>
          <w:rFonts w:hint="eastAsia"/>
          <w:b/>
          <w:bCs/>
        </w:rPr>
        <w:t>号</w:t>
      </w:r>
    </w:p>
    <w:p>
      <w:pPr>
        <w:ind w:firstLine="560" w:firstLineChars="200"/>
        <w:rPr>
          <w:kern w:val="2"/>
          <w:sz w:val="28"/>
          <w:szCs w:val="28"/>
        </w:rPr>
      </w:pPr>
      <w:r>
        <w:rPr>
          <w:rFonts w:hint="eastAsia"/>
          <w:sz w:val="28"/>
          <w:szCs w:val="28"/>
        </w:rPr>
        <w:t>我院就文体中心二楼篮球场铺设地板(高密度板)</w:t>
      </w:r>
      <w:r>
        <w:rPr>
          <w:rFonts w:hint="eastAsia"/>
          <w:sz w:val="28"/>
          <w:szCs w:val="28"/>
          <w:lang w:val="en-US"/>
        </w:rPr>
        <w:t>工程</w:t>
      </w:r>
      <w:r>
        <w:rPr>
          <w:rFonts w:hint="eastAsia"/>
          <w:sz w:val="28"/>
          <w:szCs w:val="28"/>
        </w:rPr>
        <w:t>项目进行询价采购，具体清单及要求如下：（最高限价</w:t>
      </w:r>
      <w:r>
        <w:rPr>
          <w:rFonts w:hint="eastAsia"/>
          <w:sz w:val="28"/>
          <w:szCs w:val="28"/>
          <w:lang w:val="en-US"/>
        </w:rPr>
        <w:t>30640.00</w:t>
      </w:r>
      <w:r>
        <w:rPr>
          <w:rFonts w:hint="eastAsia"/>
          <w:sz w:val="28"/>
          <w:szCs w:val="28"/>
        </w:rPr>
        <w:t>元）</w:t>
      </w:r>
    </w:p>
    <w:p>
      <w:pPr>
        <w:widowControl/>
        <w:rPr>
          <w:b/>
          <w:sz w:val="28"/>
          <w:szCs w:val="28"/>
          <w:lang w:val="en-US"/>
        </w:rPr>
      </w:pPr>
      <w:r>
        <w:rPr>
          <w:rFonts w:hint="eastAsia"/>
          <w:b/>
          <w:sz w:val="28"/>
          <w:szCs w:val="28"/>
          <w:lang w:val="en-US"/>
        </w:rPr>
        <w:t>一、具体要求及工程量清单：</w:t>
      </w:r>
    </w:p>
    <w:p>
      <w:pPr>
        <w:widowControl/>
        <w:jc w:val="center"/>
        <w:rPr>
          <w:b/>
          <w:sz w:val="24"/>
          <w:szCs w:val="24"/>
          <w:lang w:val="en-US"/>
        </w:rPr>
      </w:pPr>
      <w:r>
        <w:rPr>
          <w:rFonts w:hint="eastAsia"/>
          <w:b/>
          <w:sz w:val="24"/>
          <w:szCs w:val="24"/>
          <w:lang w:val="en-US"/>
        </w:rPr>
        <w:t>工程量清单</w:t>
      </w:r>
    </w:p>
    <w:tbl>
      <w:tblPr>
        <w:tblStyle w:val="9"/>
        <w:tblW w:w="12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3"/>
        <w:gridCol w:w="2095"/>
        <w:gridCol w:w="3490"/>
        <w:gridCol w:w="1725"/>
        <w:gridCol w:w="234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243" w:type="dxa"/>
            <w:tcBorders>
              <w:bottom w:val="single" w:color="auto" w:sz="4" w:space="0"/>
            </w:tcBorders>
            <w:vAlign w:val="center"/>
          </w:tcPr>
          <w:p>
            <w:pPr>
              <w:widowControl/>
              <w:jc w:val="center"/>
              <w:textAlignment w:val="center"/>
              <w:rPr>
                <w:b/>
                <w:bCs/>
                <w:sz w:val="24"/>
              </w:rPr>
            </w:pPr>
            <w:r>
              <w:rPr>
                <w:rFonts w:hint="eastAsia"/>
                <w:b/>
                <w:sz w:val="18"/>
                <w:szCs w:val="18"/>
                <w:lang w:val="en-US"/>
              </w:rPr>
              <w:t>序号</w:t>
            </w:r>
          </w:p>
        </w:tc>
        <w:tc>
          <w:tcPr>
            <w:tcW w:w="2095" w:type="dxa"/>
            <w:tcBorders>
              <w:bottom w:val="single" w:color="auto" w:sz="4" w:space="0"/>
            </w:tcBorders>
            <w:vAlign w:val="center"/>
          </w:tcPr>
          <w:p>
            <w:pPr>
              <w:widowControl/>
              <w:jc w:val="center"/>
              <w:textAlignment w:val="center"/>
              <w:rPr>
                <w:b/>
                <w:bCs/>
                <w:sz w:val="24"/>
              </w:rPr>
            </w:pPr>
            <w:r>
              <w:rPr>
                <w:rFonts w:hint="eastAsia"/>
                <w:b/>
                <w:sz w:val="18"/>
                <w:szCs w:val="18"/>
                <w:lang w:val="en-US"/>
              </w:rPr>
              <w:t>项目名称</w:t>
            </w:r>
          </w:p>
        </w:tc>
        <w:tc>
          <w:tcPr>
            <w:tcW w:w="3490" w:type="dxa"/>
            <w:tcBorders>
              <w:bottom w:val="single" w:color="auto" w:sz="4" w:space="0"/>
            </w:tcBorders>
            <w:vAlign w:val="center"/>
          </w:tcPr>
          <w:p>
            <w:pPr>
              <w:widowControl/>
              <w:jc w:val="center"/>
              <w:textAlignment w:val="center"/>
              <w:rPr>
                <w:b/>
                <w:bCs/>
                <w:sz w:val="24"/>
              </w:rPr>
            </w:pPr>
            <w:r>
              <w:rPr>
                <w:rFonts w:hint="eastAsia"/>
                <w:b/>
                <w:sz w:val="18"/>
                <w:szCs w:val="18"/>
                <w:lang w:val="en-US"/>
              </w:rPr>
              <w:t>项目特征</w:t>
            </w:r>
          </w:p>
        </w:tc>
        <w:tc>
          <w:tcPr>
            <w:tcW w:w="1725" w:type="dxa"/>
            <w:tcBorders>
              <w:bottom w:val="single" w:color="auto" w:sz="4" w:space="0"/>
            </w:tcBorders>
            <w:vAlign w:val="center"/>
          </w:tcPr>
          <w:p>
            <w:pPr>
              <w:widowControl/>
              <w:jc w:val="center"/>
              <w:textAlignment w:val="center"/>
              <w:rPr>
                <w:b/>
                <w:bCs/>
                <w:sz w:val="24"/>
              </w:rPr>
            </w:pPr>
            <w:r>
              <w:rPr>
                <w:rFonts w:hint="eastAsia"/>
                <w:b/>
                <w:sz w:val="18"/>
                <w:szCs w:val="18"/>
                <w:lang w:val="en-US"/>
              </w:rPr>
              <w:t>计量单位</w:t>
            </w:r>
          </w:p>
        </w:tc>
        <w:tc>
          <w:tcPr>
            <w:tcW w:w="2343" w:type="dxa"/>
            <w:tcBorders>
              <w:bottom w:val="single" w:color="auto" w:sz="4" w:space="0"/>
            </w:tcBorders>
            <w:vAlign w:val="center"/>
          </w:tcPr>
          <w:p>
            <w:pPr>
              <w:widowControl/>
              <w:jc w:val="center"/>
              <w:textAlignment w:val="center"/>
              <w:rPr>
                <w:b/>
                <w:bCs/>
                <w:sz w:val="24"/>
              </w:rPr>
            </w:pPr>
            <w:r>
              <w:rPr>
                <w:rFonts w:hint="eastAsia"/>
                <w:b/>
                <w:sz w:val="18"/>
                <w:szCs w:val="18"/>
                <w:lang w:val="en-US"/>
              </w:rPr>
              <w:t>工程数量</w:t>
            </w:r>
          </w:p>
        </w:tc>
        <w:tc>
          <w:tcPr>
            <w:tcW w:w="1483" w:type="dxa"/>
            <w:tcBorders>
              <w:bottom w:val="single" w:color="auto" w:sz="4" w:space="0"/>
            </w:tcBorders>
            <w:vAlign w:val="center"/>
          </w:tcPr>
          <w:p>
            <w:pPr>
              <w:widowControl/>
              <w:jc w:val="center"/>
              <w:textAlignment w:val="center"/>
              <w:rPr>
                <w:b/>
                <w:bCs/>
                <w:sz w:val="24"/>
                <w:lang w:val="en-US"/>
              </w:rPr>
            </w:pPr>
            <w:r>
              <w:rPr>
                <w:rFonts w:hint="eastAsia" w:asciiTheme="minorEastAsia" w:hAnsiTheme="minorEastAsia" w:eastAsiaTheme="minorEastAsia"/>
                <w:b/>
                <w:szCs w:val="21"/>
              </w:rPr>
              <w:t>全费用综合单价最高限价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1243" w:type="dxa"/>
            <w:vAlign w:val="center"/>
          </w:tcPr>
          <w:p>
            <w:pPr>
              <w:widowControl/>
              <w:jc w:val="center"/>
              <w:textAlignment w:val="center"/>
              <w:rPr>
                <w:b/>
                <w:bCs/>
                <w:sz w:val="24"/>
                <w:lang w:val="en-US"/>
              </w:rPr>
            </w:pPr>
            <w:r>
              <w:rPr>
                <w:rFonts w:hint="eastAsia"/>
                <w:color w:val="000000"/>
                <w:sz w:val="20"/>
                <w:szCs w:val="20"/>
                <w:lang w:val="en-US"/>
              </w:rPr>
              <w:t>1</w:t>
            </w:r>
          </w:p>
        </w:tc>
        <w:tc>
          <w:tcPr>
            <w:tcW w:w="2095" w:type="dxa"/>
            <w:vAlign w:val="center"/>
          </w:tcPr>
          <w:p>
            <w:pPr>
              <w:widowControl/>
              <w:jc w:val="center"/>
              <w:textAlignment w:val="center"/>
              <w:rPr>
                <w:b/>
                <w:bCs/>
                <w:sz w:val="24"/>
                <w:lang w:val="en-US"/>
              </w:rPr>
            </w:pPr>
            <w:r>
              <w:rPr>
                <w:rFonts w:hint="eastAsia"/>
                <w:color w:val="000000"/>
                <w:sz w:val="20"/>
                <w:szCs w:val="20"/>
                <w:lang w:val="en-US"/>
              </w:rPr>
              <w:t>高密度板搬运费</w:t>
            </w:r>
          </w:p>
        </w:tc>
        <w:tc>
          <w:tcPr>
            <w:tcW w:w="3490" w:type="dxa"/>
            <w:vAlign w:val="center"/>
          </w:tcPr>
          <w:p>
            <w:pPr>
              <w:widowControl/>
              <w:jc w:val="center"/>
              <w:textAlignment w:val="center"/>
            </w:pPr>
            <w:r>
              <w:rPr>
                <w:rFonts w:hint="eastAsia"/>
                <w:color w:val="000000"/>
                <w:sz w:val="20"/>
                <w:szCs w:val="20"/>
                <w:lang w:val="en-US"/>
              </w:rPr>
              <w:t>详见施工要求，含施工前仓库搬出及结束拆除后搬入仓库</w:t>
            </w:r>
          </w:p>
        </w:tc>
        <w:tc>
          <w:tcPr>
            <w:tcW w:w="1725" w:type="dxa"/>
            <w:vAlign w:val="center"/>
          </w:tcPr>
          <w:p>
            <w:pPr>
              <w:widowControl/>
              <w:jc w:val="center"/>
              <w:textAlignment w:val="center"/>
            </w:pPr>
            <w:r>
              <w:rPr>
                <w:rFonts w:hint="eastAsia"/>
                <w:color w:val="000000"/>
                <w:sz w:val="20"/>
                <w:szCs w:val="20"/>
                <w:lang w:val="en-US"/>
              </w:rPr>
              <w:t>m2</w:t>
            </w:r>
          </w:p>
        </w:tc>
        <w:tc>
          <w:tcPr>
            <w:tcW w:w="2343" w:type="dxa"/>
            <w:vAlign w:val="center"/>
          </w:tcPr>
          <w:p>
            <w:pPr>
              <w:widowControl/>
              <w:jc w:val="center"/>
              <w:textAlignment w:val="center"/>
              <w:rPr>
                <w:lang w:val="en-US"/>
              </w:rPr>
            </w:pPr>
            <w:r>
              <w:rPr>
                <w:rFonts w:hint="eastAsia"/>
                <w:color w:val="000000"/>
                <w:sz w:val="20"/>
                <w:szCs w:val="20"/>
                <w:lang w:val="en-US"/>
              </w:rPr>
              <w:t>820</w:t>
            </w:r>
          </w:p>
        </w:tc>
        <w:tc>
          <w:tcPr>
            <w:tcW w:w="1483" w:type="dxa"/>
            <w:vAlign w:val="center"/>
          </w:tcPr>
          <w:p>
            <w:pPr>
              <w:widowControl/>
              <w:jc w:val="center"/>
              <w:textAlignment w:val="center"/>
              <w:rPr>
                <w:lang w:val="en-US"/>
              </w:rPr>
            </w:pPr>
            <w:r>
              <w:rPr>
                <w:rFonts w:hint="eastAsia"/>
                <w:color w:val="000000"/>
                <w:sz w:val="20"/>
                <w:szCs w:val="20"/>
                <w:lang w:val="en-US"/>
              </w:rPr>
              <w:t>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243" w:type="dxa"/>
            <w:vAlign w:val="center"/>
          </w:tcPr>
          <w:p>
            <w:pPr>
              <w:widowControl/>
              <w:jc w:val="center"/>
              <w:textAlignment w:val="center"/>
              <w:rPr>
                <w:sz w:val="18"/>
                <w:szCs w:val="18"/>
                <w:lang w:val="en-US"/>
              </w:rPr>
            </w:pPr>
            <w:r>
              <w:rPr>
                <w:rFonts w:hint="eastAsia"/>
                <w:color w:val="000000"/>
                <w:sz w:val="20"/>
                <w:szCs w:val="20"/>
                <w:lang w:val="en-US"/>
              </w:rPr>
              <w:t>2</w:t>
            </w:r>
          </w:p>
        </w:tc>
        <w:tc>
          <w:tcPr>
            <w:tcW w:w="2095" w:type="dxa"/>
            <w:vAlign w:val="center"/>
          </w:tcPr>
          <w:p>
            <w:pPr>
              <w:widowControl/>
              <w:jc w:val="center"/>
              <w:textAlignment w:val="center"/>
              <w:rPr>
                <w:sz w:val="18"/>
                <w:szCs w:val="18"/>
                <w:lang w:val="en-US"/>
              </w:rPr>
            </w:pPr>
            <w:r>
              <w:rPr>
                <w:rFonts w:hint="eastAsia"/>
                <w:color w:val="000000"/>
                <w:sz w:val="20"/>
                <w:szCs w:val="20"/>
                <w:lang w:val="en-US"/>
              </w:rPr>
              <w:t>原有及新增高密度板铺设、拆除费</w:t>
            </w:r>
          </w:p>
        </w:tc>
        <w:tc>
          <w:tcPr>
            <w:tcW w:w="3490" w:type="dxa"/>
            <w:vAlign w:val="center"/>
          </w:tcPr>
          <w:p>
            <w:pPr>
              <w:widowControl/>
              <w:jc w:val="center"/>
              <w:textAlignment w:val="center"/>
              <w:rPr>
                <w:sz w:val="18"/>
                <w:szCs w:val="18"/>
                <w:lang w:val="en-US"/>
              </w:rPr>
            </w:pPr>
            <w:r>
              <w:rPr>
                <w:rFonts w:hint="eastAsia"/>
                <w:color w:val="000000"/>
                <w:sz w:val="20"/>
                <w:szCs w:val="20"/>
                <w:lang w:val="en-US"/>
              </w:rPr>
              <w:t>详见甲方施工要求</w:t>
            </w:r>
          </w:p>
        </w:tc>
        <w:tc>
          <w:tcPr>
            <w:tcW w:w="1725" w:type="dxa"/>
            <w:vAlign w:val="center"/>
          </w:tcPr>
          <w:p>
            <w:pPr>
              <w:widowControl/>
              <w:jc w:val="center"/>
              <w:textAlignment w:val="center"/>
              <w:rPr>
                <w:sz w:val="18"/>
                <w:szCs w:val="18"/>
                <w:lang w:val="en-US"/>
              </w:rPr>
            </w:pPr>
            <w:r>
              <w:rPr>
                <w:rFonts w:hint="eastAsia"/>
                <w:color w:val="000000"/>
                <w:sz w:val="20"/>
                <w:szCs w:val="20"/>
                <w:lang w:val="en-US"/>
              </w:rPr>
              <w:t>m2</w:t>
            </w:r>
          </w:p>
        </w:tc>
        <w:tc>
          <w:tcPr>
            <w:tcW w:w="2343" w:type="dxa"/>
            <w:vAlign w:val="center"/>
          </w:tcPr>
          <w:p>
            <w:pPr>
              <w:widowControl/>
              <w:jc w:val="center"/>
              <w:textAlignment w:val="center"/>
              <w:rPr>
                <w:sz w:val="18"/>
                <w:szCs w:val="18"/>
                <w:lang w:val="en-US"/>
              </w:rPr>
            </w:pPr>
            <w:r>
              <w:rPr>
                <w:rFonts w:hint="eastAsia"/>
                <w:color w:val="000000"/>
                <w:sz w:val="20"/>
                <w:szCs w:val="20"/>
                <w:lang w:val="en-US"/>
              </w:rPr>
              <w:t>820</w:t>
            </w:r>
          </w:p>
        </w:tc>
        <w:tc>
          <w:tcPr>
            <w:tcW w:w="1483" w:type="dxa"/>
            <w:vAlign w:val="center"/>
          </w:tcPr>
          <w:p>
            <w:pPr>
              <w:widowControl/>
              <w:jc w:val="center"/>
              <w:textAlignment w:val="center"/>
              <w:rPr>
                <w:sz w:val="18"/>
                <w:szCs w:val="18"/>
                <w:lang w:val="en-US"/>
              </w:rPr>
            </w:pPr>
            <w:r>
              <w:rPr>
                <w:rFonts w:hint="eastAsia"/>
                <w:color w:val="000000"/>
                <w:sz w:val="20"/>
                <w:szCs w:val="20"/>
                <w:lang w:val="en-US"/>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1243" w:type="dxa"/>
            <w:vAlign w:val="center"/>
          </w:tcPr>
          <w:p>
            <w:pPr>
              <w:widowControl/>
              <w:jc w:val="center"/>
              <w:textAlignment w:val="center"/>
              <w:rPr>
                <w:sz w:val="18"/>
                <w:szCs w:val="18"/>
                <w:lang w:val="en-US"/>
              </w:rPr>
            </w:pPr>
            <w:r>
              <w:rPr>
                <w:rFonts w:hint="eastAsia"/>
                <w:color w:val="000000"/>
                <w:sz w:val="20"/>
                <w:szCs w:val="20"/>
                <w:lang w:val="en-US"/>
              </w:rPr>
              <w:t>3</w:t>
            </w:r>
          </w:p>
        </w:tc>
        <w:tc>
          <w:tcPr>
            <w:tcW w:w="2095" w:type="dxa"/>
            <w:vAlign w:val="center"/>
          </w:tcPr>
          <w:p>
            <w:pPr>
              <w:widowControl/>
              <w:jc w:val="center"/>
              <w:textAlignment w:val="center"/>
              <w:rPr>
                <w:sz w:val="18"/>
                <w:szCs w:val="18"/>
                <w:lang w:val="en-US"/>
              </w:rPr>
            </w:pPr>
            <w:r>
              <w:rPr>
                <w:rFonts w:hint="eastAsia"/>
                <w:color w:val="000000"/>
                <w:sz w:val="20"/>
                <w:szCs w:val="20"/>
                <w:lang w:val="en-US"/>
              </w:rPr>
              <w:t>新增高密度板材料费</w:t>
            </w:r>
          </w:p>
        </w:tc>
        <w:tc>
          <w:tcPr>
            <w:tcW w:w="3490" w:type="dxa"/>
            <w:vAlign w:val="center"/>
          </w:tcPr>
          <w:p>
            <w:pPr>
              <w:widowControl/>
              <w:jc w:val="center"/>
              <w:textAlignment w:val="center"/>
              <w:rPr>
                <w:sz w:val="18"/>
                <w:szCs w:val="18"/>
                <w:lang w:val="en-US"/>
              </w:rPr>
            </w:pPr>
            <w:r>
              <w:rPr>
                <w:rFonts w:hint="eastAsia"/>
                <w:color w:val="000000"/>
                <w:sz w:val="20"/>
                <w:szCs w:val="20"/>
                <w:lang w:val="en-US"/>
              </w:rPr>
              <w:t>规格1220*2440*18MM</w:t>
            </w:r>
          </w:p>
        </w:tc>
        <w:tc>
          <w:tcPr>
            <w:tcW w:w="1725" w:type="dxa"/>
            <w:vAlign w:val="center"/>
          </w:tcPr>
          <w:p>
            <w:pPr>
              <w:widowControl/>
              <w:jc w:val="center"/>
              <w:textAlignment w:val="center"/>
              <w:rPr>
                <w:sz w:val="18"/>
                <w:szCs w:val="18"/>
                <w:lang w:val="en-US"/>
              </w:rPr>
            </w:pPr>
            <w:r>
              <w:rPr>
                <w:rFonts w:hint="eastAsia"/>
                <w:color w:val="000000"/>
                <w:sz w:val="20"/>
                <w:szCs w:val="20"/>
                <w:lang w:val="en-US"/>
              </w:rPr>
              <w:t>m2</w:t>
            </w:r>
          </w:p>
        </w:tc>
        <w:tc>
          <w:tcPr>
            <w:tcW w:w="2343" w:type="dxa"/>
            <w:vAlign w:val="center"/>
          </w:tcPr>
          <w:p>
            <w:pPr>
              <w:widowControl/>
              <w:jc w:val="center"/>
              <w:textAlignment w:val="center"/>
              <w:rPr>
                <w:sz w:val="18"/>
                <w:szCs w:val="18"/>
                <w:lang w:val="en-US"/>
              </w:rPr>
            </w:pPr>
            <w:r>
              <w:rPr>
                <w:rFonts w:hint="eastAsia"/>
                <w:color w:val="000000"/>
                <w:sz w:val="20"/>
                <w:szCs w:val="20"/>
                <w:lang w:val="en-US"/>
              </w:rPr>
              <w:t>120</w:t>
            </w:r>
          </w:p>
        </w:tc>
        <w:tc>
          <w:tcPr>
            <w:tcW w:w="1483" w:type="dxa"/>
            <w:vAlign w:val="center"/>
          </w:tcPr>
          <w:p>
            <w:pPr>
              <w:widowControl/>
              <w:jc w:val="center"/>
              <w:textAlignment w:val="center"/>
              <w:rPr>
                <w:sz w:val="18"/>
                <w:szCs w:val="18"/>
                <w:lang w:val="en-US"/>
              </w:rPr>
            </w:pPr>
            <w:r>
              <w:rPr>
                <w:rFonts w:hint="eastAsia"/>
                <w:color w:val="000000"/>
                <w:sz w:val="20"/>
                <w:szCs w:val="20"/>
                <w:lang w:val="en-US"/>
              </w:rPr>
              <w:t>105.00</w:t>
            </w:r>
          </w:p>
        </w:tc>
      </w:tr>
    </w:tbl>
    <w:p>
      <w:pPr>
        <w:widowControl/>
        <w:rPr>
          <w:b/>
          <w:sz w:val="28"/>
          <w:szCs w:val="28"/>
          <w:lang w:val="en-US"/>
        </w:rPr>
      </w:pPr>
      <w:r>
        <w:rPr>
          <w:rFonts w:hint="eastAsia"/>
          <w:b/>
          <w:sz w:val="28"/>
          <w:szCs w:val="28"/>
          <w:lang w:val="en-US"/>
        </w:rPr>
        <w:t>二、施工说明</w:t>
      </w:r>
    </w:p>
    <w:p>
      <w:pPr>
        <w:rPr>
          <w:rFonts w:asciiTheme="minorEastAsia" w:hAnsiTheme="minorEastAsia"/>
          <w:b/>
          <w:sz w:val="28"/>
          <w:szCs w:val="28"/>
        </w:rPr>
      </w:pPr>
      <w:r>
        <w:rPr>
          <w:rFonts w:hint="eastAsia" w:asciiTheme="minorEastAsia" w:hAnsiTheme="minorEastAsia"/>
          <w:b/>
          <w:sz w:val="28"/>
          <w:szCs w:val="28"/>
        </w:rPr>
        <w:t>一）工程施工具体任务</w:t>
      </w:r>
    </w:p>
    <w:p>
      <w:pPr>
        <w:rPr>
          <w:b/>
          <w:sz w:val="24"/>
          <w:szCs w:val="24"/>
        </w:rPr>
      </w:pPr>
      <w:r>
        <w:rPr>
          <w:rFonts w:hint="eastAsia"/>
          <w:b/>
          <w:sz w:val="24"/>
          <w:szCs w:val="24"/>
        </w:rPr>
        <w:t>1、搬运旧密度板至体育馆二楼室内篮球场</w:t>
      </w:r>
    </w:p>
    <w:p>
      <w:pPr>
        <w:ind w:firstLine="480" w:firstLineChars="200"/>
        <w:rPr>
          <w:sz w:val="24"/>
          <w:szCs w:val="24"/>
        </w:rPr>
      </w:pPr>
      <w:r>
        <w:rPr>
          <w:rFonts w:hint="eastAsia"/>
          <w:sz w:val="24"/>
          <w:szCs w:val="24"/>
        </w:rPr>
        <w:t>1）将约700平米堆放好的高密度板（规格约1220*2440*18㎜）从一楼仓库搬运至距离200米外的体育馆二楼室内篮球场进行现场安装铺设。</w:t>
      </w:r>
    </w:p>
    <w:p>
      <w:pPr>
        <w:ind w:firstLine="480" w:firstLineChars="200"/>
        <w:rPr>
          <w:sz w:val="24"/>
          <w:szCs w:val="24"/>
        </w:rPr>
      </w:pPr>
      <w:r>
        <w:rPr>
          <w:rFonts w:hint="eastAsia"/>
          <w:sz w:val="24"/>
          <w:szCs w:val="24"/>
        </w:rPr>
        <w:t>2）体育馆二楼垂直高度约6米，从一楼地面到二楼体育馆可以从宽楼梯上去（无电梯上下楼），楼梯斜面长度约19米。</w:t>
      </w:r>
    </w:p>
    <w:p>
      <w:pPr>
        <w:ind w:firstLine="480" w:firstLineChars="200"/>
        <w:rPr>
          <w:sz w:val="24"/>
          <w:szCs w:val="24"/>
        </w:rPr>
      </w:pPr>
      <w:r>
        <w:rPr>
          <w:sz w:val="24"/>
          <w:szCs w:val="24"/>
        </w:rPr>
        <w:pict>
          <v:shape id="_x0000_s1026" o:spid="_x0000_s1026" o:spt="62" type="#_x0000_t62" style="position:absolute;left:0pt;margin-left:156.5pt;margin-top:277.65pt;height:24.75pt;width:130.75pt;z-index:251662336;mso-width-relative:page;mso-height-relative:page;" coordsize="21600,21600" o:gfxdata="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fJRaXcAAAA&#10;CwEAAA8AAAAAAAAAAQAgAAAAIgAAAGRycy9kb3ducmV2LnhtbFBLAQIUABQAAAAIAIdO4kATEyeq&#10;UgIAAL4EAAAOAAAAAAAAAAEAIAAAACsBAABkcnMvZTJvRG9jLnhtbFBLBQYAAAAABgAGAFkBAADv&#10;BQAAAAA=&#10;" adj="-3544,-44247,14400">
            <v:path/>
            <v:fill focussize="0,0"/>
            <v:stroke joinstyle="miter"/>
            <v:imagedata o:title=""/>
            <o:lock v:ext="edit"/>
            <v:textbox>
              <w:txbxContent>
                <w:p>
                  <w:pPr>
                    <w:rPr>
                      <w:b/>
                      <w:color w:val="FF0000"/>
                    </w:rPr>
                  </w:pPr>
                  <w:r>
                    <w:rPr>
                      <w:rFonts w:hint="eastAsia"/>
                      <w:b/>
                      <w:color w:val="FF0000"/>
                    </w:rPr>
                    <w:t>楼梯斜面长度约19米</w:t>
                  </w:r>
                </w:p>
              </w:txbxContent>
            </v:textbox>
          </v:shape>
        </w:pict>
      </w:r>
      <w:r>
        <w:rPr>
          <w:sz w:val="24"/>
          <w:szCs w:val="24"/>
        </w:rPr>
        <w:pict>
          <v:shape id="_x0000_s2053" o:spid="_x0000_s2053" o:spt="32" type="#_x0000_t32" style="position:absolute;left:0pt;flip:x;margin-left:106.1pt;margin-top:134.4pt;height:159pt;width:50.4pt;z-index:251660288;mso-width-relative:page;mso-height-relative:page;" filled="f" stroked="t" coordsize="21600,21600" o:gfxdata="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1xal61wAAAAsBAAAPAAAAAAAAAAEAIAAA&#10;ACIAAABkcnMvZG93bnJldi54bWxQSwECFAAUAAAACACHTuJA24/mBw0CAAAEBAAADgAAAAAAAAAB&#10;ACAAAAAmAQAAZHJzL2Uyb0RvYy54bWxQSwUGAAAAAAYABgBZAQAApQUAAAAA&#10;">
            <v:path arrowok="t"/>
            <v:fill on="f" focussize="0,0"/>
            <v:stroke weight="3pt" color="#FF0000" startarrow="block" endarrow="block"/>
            <v:imagedata o:title=""/>
            <o:lock v:ext="edit"/>
          </v:shape>
        </w:pict>
      </w:r>
      <w:r>
        <w:rPr>
          <w:sz w:val="24"/>
          <w:szCs w:val="24"/>
        </w:rPr>
        <w:pict>
          <v:shape id="_x0000_s2052" o:spid="_x0000_s2052" o:spt="62" type="#_x0000_t62" style="position:absolute;left:0pt;margin-left:307.1pt;margin-top:212.4pt;height:24.75pt;width:106.5pt;z-index:251661312;mso-width-relative:page;mso-height-relative:page;" coordsize="21600,21600" o:gfxdata="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Frf0toAAAALAQAA&#10;DwAAAAAAAAABACAAAAAiAAAAZHJzL2Rvd25yZXYueG1sUEsBAhQAFAAAAAgAh07iQCdcSERQAgAA&#10;vgQAAA4AAAAAAAAAAQAgAAAAKQEAAGRycy9lMm9Eb2MueG1sUEsFBgAAAAAGAAYAWQEAAOsFAAAA&#10;AA==&#10;" adj="-10283,-33120,14400">
            <v:path/>
            <v:fill focussize="0,0"/>
            <v:stroke joinstyle="miter"/>
            <v:imagedata o:title=""/>
            <o:lock v:ext="edit"/>
            <v:textbox>
              <w:txbxContent>
                <w:p>
                  <w:pPr>
                    <w:rPr>
                      <w:b/>
                      <w:color w:val="FF0000"/>
                    </w:rPr>
                  </w:pPr>
                  <w:r>
                    <w:rPr>
                      <w:rFonts w:hint="eastAsia"/>
                      <w:b/>
                      <w:color w:val="FF0000"/>
                    </w:rPr>
                    <w:t>垂直高度约6米</w:t>
                  </w:r>
                </w:p>
              </w:txbxContent>
            </v:textbox>
          </v:shape>
        </w:pict>
      </w:r>
      <w:r>
        <w:rPr>
          <w:sz w:val="24"/>
          <w:szCs w:val="24"/>
        </w:rPr>
        <w:pict>
          <v:shape id="_x0000_s2051" o:spid="_x0000_s2051" o:spt="32" type="#_x0000_t32" style="position:absolute;left:0pt;margin-left:256.1pt;margin-top:134.4pt;height:82.5pt;width:0pt;z-index:251659264;mso-width-relative:page;mso-height-relative:page;" filled="f" stroked="t" coordsize="21600,21600" o:gfxdata="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6ZJwTXAAAACwEAAA8AAAAAAAAAAQAgAAAAIgAAAGRycy9k&#10;b3ducmV2LnhtbFBLAQIUABQAAAAIAIdO4kAVvrzgAwIAAPUDAAAOAAAAAAAAAAEAIAAAACYBAABk&#10;cnMvZTJvRG9jLnhtbFBLBQYAAAAABgAGAFkBAACbBQAAAAA=&#10;">
            <v:path arrowok="t"/>
            <v:fill on="f" focussize="0,0"/>
            <v:stroke weight="5pt" color="#FF0000" startarrow="block" endarrow="block"/>
            <v:imagedata o:title=""/>
            <o:lock v:ext="edit"/>
          </v:shape>
        </w:pict>
      </w:r>
      <w:r>
        <w:rPr>
          <w:rFonts w:hint="eastAsia"/>
          <w:sz w:val="24"/>
          <w:szCs w:val="24"/>
          <w:lang w:val="en-US" w:bidi="ar-SA"/>
        </w:rPr>
        <w:drawing>
          <wp:inline distT="0" distB="0" distL="0" distR="0">
            <wp:extent cx="5495925" cy="402590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srcRect l="14545" t="5588" r="14380" b="1765"/>
                    <a:stretch>
                      <a:fillRect/>
                    </a:stretch>
                  </pic:blipFill>
                  <pic:spPr>
                    <a:xfrm>
                      <a:off x="0" y="0"/>
                      <a:ext cx="5495925" cy="4026085"/>
                    </a:xfrm>
                    <a:prstGeom prst="rect">
                      <a:avLst/>
                    </a:prstGeom>
                    <a:noFill/>
                    <a:ln w="9525">
                      <a:noFill/>
                      <a:miter lim="800000"/>
                      <a:headEnd/>
                      <a:tailEnd/>
                    </a:ln>
                  </pic:spPr>
                </pic:pic>
              </a:graphicData>
            </a:graphic>
          </wp:inline>
        </w:drawing>
      </w:r>
    </w:p>
    <w:p>
      <w:pPr>
        <w:ind w:firstLine="480" w:firstLineChars="200"/>
        <w:rPr>
          <w:sz w:val="24"/>
          <w:szCs w:val="24"/>
        </w:rPr>
      </w:pPr>
      <w:r>
        <w:rPr>
          <w:rFonts w:hint="eastAsia"/>
          <w:sz w:val="24"/>
          <w:szCs w:val="24"/>
        </w:rPr>
        <w:t>3）二楼楼梯口至室内篮球场门口有约32米距离。</w:t>
      </w:r>
    </w:p>
    <w:p>
      <w:pPr>
        <w:rPr>
          <w:b/>
          <w:sz w:val="24"/>
          <w:szCs w:val="24"/>
        </w:rPr>
      </w:pPr>
      <w:r>
        <w:rPr>
          <w:rFonts w:hint="eastAsia"/>
          <w:b/>
          <w:sz w:val="24"/>
          <w:szCs w:val="24"/>
        </w:rPr>
        <w:t>2、新采购密度板并搬运至体育馆二楼室内篮球场</w:t>
      </w:r>
    </w:p>
    <w:p>
      <w:pPr>
        <w:ind w:firstLine="480" w:firstLineChars="200"/>
        <w:rPr>
          <w:sz w:val="24"/>
          <w:szCs w:val="24"/>
        </w:rPr>
      </w:pPr>
      <w:r>
        <w:rPr>
          <w:rFonts w:hint="eastAsia"/>
          <w:sz w:val="24"/>
          <w:szCs w:val="24"/>
        </w:rPr>
        <w:t>因为2023年增加了2支参赛队伍，所以铺设地板面积比去年增加约70平米，需新增购70平米高密度板；另外，由于去年回收的高密度板放置在仓库内受潮，导致有约15张（45平米）左右损坏，也要重新添置。</w:t>
      </w:r>
    </w:p>
    <w:p>
      <w:pPr>
        <w:ind w:firstLine="480" w:firstLineChars="200"/>
        <w:rPr>
          <w:sz w:val="24"/>
          <w:szCs w:val="24"/>
        </w:rPr>
      </w:pPr>
      <w:r>
        <w:rPr>
          <w:rFonts w:hint="eastAsia"/>
          <w:sz w:val="24"/>
          <w:szCs w:val="24"/>
        </w:rPr>
        <w:t>1）估计要新增：1220*2440*18㎜规格的高密度板115平米左右，（中标单位采购前务必前往甲方仓库核对旧密度板的型号和规格），结算时按照实际施工增加的密度板多退少补材料和人工费用。</w:t>
      </w:r>
    </w:p>
    <w:p>
      <w:pPr>
        <w:ind w:firstLine="480" w:firstLineChars="200"/>
        <w:rPr>
          <w:sz w:val="24"/>
          <w:szCs w:val="24"/>
        </w:rPr>
      </w:pPr>
      <w:r>
        <w:rPr>
          <w:rFonts w:hint="eastAsia"/>
          <w:sz w:val="24"/>
          <w:szCs w:val="24"/>
        </w:rPr>
        <w:t>2）新增的高密度板直接搬运至体育馆二楼篮球场进行施工，无需先搬运到甲方仓库。</w:t>
      </w:r>
    </w:p>
    <w:p>
      <w:pPr>
        <w:rPr>
          <w:sz w:val="24"/>
          <w:szCs w:val="24"/>
        </w:rPr>
      </w:pPr>
      <w:r>
        <w:rPr>
          <w:rFonts w:hint="eastAsia"/>
          <w:b/>
          <w:sz w:val="24"/>
          <w:szCs w:val="24"/>
        </w:rPr>
        <w:t>3、在体育馆二楼室内篮球场安装铺设密度板</w:t>
      </w:r>
    </w:p>
    <w:p>
      <w:pPr>
        <w:ind w:firstLine="480" w:firstLineChars="200"/>
        <w:rPr>
          <w:sz w:val="24"/>
          <w:szCs w:val="24"/>
        </w:rPr>
      </w:pPr>
      <w:r>
        <w:rPr>
          <w:rFonts w:hint="eastAsia"/>
          <w:sz w:val="24"/>
          <w:szCs w:val="24"/>
        </w:rPr>
        <w:t>1）施工平面图如下</w:t>
      </w:r>
    </w:p>
    <w:p>
      <w:pPr>
        <w:jc w:val="center"/>
        <w:rPr>
          <w:sz w:val="24"/>
          <w:szCs w:val="24"/>
        </w:rPr>
      </w:pPr>
      <w:r>
        <w:rPr>
          <w:rFonts w:hint="eastAsia"/>
          <w:sz w:val="24"/>
          <w:szCs w:val="24"/>
          <w:lang w:val="en-US" w:bidi="ar-SA"/>
        </w:rPr>
        <w:drawing>
          <wp:inline distT="0" distB="0" distL="0" distR="0">
            <wp:extent cx="6343650" cy="4589145"/>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5" cstate="print"/>
                    <a:srcRect l="14711" t="3824" r="10578"/>
                    <a:stretch>
                      <a:fillRect/>
                    </a:stretch>
                  </pic:blipFill>
                  <pic:spPr>
                    <a:xfrm>
                      <a:off x="0" y="0"/>
                      <a:ext cx="6343944" cy="4589534"/>
                    </a:xfrm>
                    <a:prstGeom prst="rect">
                      <a:avLst/>
                    </a:prstGeom>
                    <a:noFill/>
                    <a:ln w="9525">
                      <a:noFill/>
                      <a:miter lim="800000"/>
                      <a:headEnd/>
                      <a:tailEnd/>
                    </a:ln>
                  </pic:spPr>
                </pic:pic>
              </a:graphicData>
            </a:graphic>
          </wp:inline>
        </w:drawing>
      </w:r>
    </w:p>
    <w:p>
      <w:pPr>
        <w:jc w:val="center"/>
        <w:rPr>
          <w:sz w:val="24"/>
          <w:szCs w:val="24"/>
        </w:rPr>
      </w:pPr>
      <w:r>
        <w:rPr>
          <w:rFonts w:hint="eastAsia"/>
          <w:sz w:val="24"/>
          <w:szCs w:val="24"/>
        </w:rPr>
        <w:t>图1 密度板施工平面图（图纸上方为北，图纸中的看台在东侧）</w:t>
      </w:r>
    </w:p>
    <w:p>
      <w:pPr>
        <w:ind w:firstLine="480" w:firstLineChars="200"/>
        <w:rPr>
          <w:sz w:val="24"/>
          <w:szCs w:val="24"/>
        </w:rPr>
      </w:pPr>
      <w:r>
        <w:rPr>
          <w:rFonts w:hint="eastAsia"/>
          <w:sz w:val="24"/>
          <w:szCs w:val="24"/>
        </w:rPr>
        <w:tab/>
      </w:r>
      <w:r>
        <w:rPr>
          <w:rFonts w:hint="eastAsia"/>
          <w:sz w:val="24"/>
          <w:szCs w:val="24"/>
        </w:rPr>
        <w:t>图1说明：</w:t>
      </w:r>
    </w:p>
    <w:p>
      <w:pPr>
        <w:ind w:firstLine="480" w:firstLineChars="200"/>
        <w:rPr>
          <w:sz w:val="24"/>
          <w:szCs w:val="24"/>
        </w:rPr>
      </w:pPr>
      <w:r>
        <w:rPr>
          <w:rFonts w:hint="eastAsia"/>
          <w:sz w:val="24"/>
          <w:szCs w:val="24"/>
        </w:rPr>
        <w:t>①地板铺设的总面积：（小于等于）816.66平米。</w:t>
      </w:r>
    </w:p>
    <w:p>
      <w:pPr>
        <w:ind w:firstLine="480" w:firstLineChars="200"/>
        <w:rPr>
          <w:sz w:val="24"/>
          <w:szCs w:val="24"/>
        </w:rPr>
      </w:pPr>
      <w:r>
        <w:rPr>
          <w:rFonts w:hint="eastAsia"/>
          <w:sz w:val="24"/>
          <w:szCs w:val="24"/>
        </w:rPr>
        <w:t>②图纸中的1、2、3、……17，表示17个竞赛工位区，每个竞赛工位区的面积大致是5*7=35平米。其中，6号和12号竞赛工位区被图纸中的高密度地板遮挡，无法看到。地板施工人员只要知道地板上有这17个工位即可。</w:t>
      </w:r>
    </w:p>
    <w:p>
      <w:pPr>
        <w:ind w:firstLine="480" w:firstLineChars="200"/>
        <w:rPr>
          <w:sz w:val="24"/>
          <w:szCs w:val="24"/>
        </w:rPr>
      </w:pPr>
      <w:r>
        <w:rPr>
          <w:rFonts w:hint="eastAsia"/>
          <w:sz w:val="24"/>
          <w:szCs w:val="24"/>
        </w:rPr>
        <w:t>③请注意：图纸中为了看清竞赛工位区，在中间的1-5,7-11,13-17这15个竞赛工位区没有画出高密度地板，1-5,7-11,13-17这15个竞赛工位区实际上要全部铺设高密度地板。</w:t>
      </w:r>
    </w:p>
    <w:p>
      <w:pPr>
        <w:ind w:firstLine="480" w:firstLineChars="200"/>
        <w:rPr>
          <w:sz w:val="24"/>
          <w:szCs w:val="24"/>
        </w:rPr>
      </w:pPr>
      <w:r>
        <w:rPr>
          <w:rFonts w:hint="eastAsia"/>
          <w:sz w:val="24"/>
          <w:szCs w:val="24"/>
        </w:rPr>
        <w:t>2）体育馆二楼篮球场室内为木质运动地板，运动木地板地面基本保持平整，高密度板（只要按照高密度板长度方向东西放置）整齐平放在二楼室内篮球场木地板上，一般无需在两者之间增垫其他物料。</w:t>
      </w:r>
    </w:p>
    <w:p>
      <w:pPr>
        <w:ind w:firstLine="480" w:firstLineChars="200"/>
        <w:jc w:val="center"/>
        <w:rPr>
          <w:sz w:val="24"/>
          <w:szCs w:val="24"/>
        </w:rPr>
      </w:pPr>
      <w:r>
        <w:rPr>
          <w:rFonts w:hint="eastAsia"/>
          <w:sz w:val="24"/>
          <w:szCs w:val="24"/>
          <w:lang w:val="en-US" w:bidi="ar-SA"/>
        </w:rPr>
        <w:drawing>
          <wp:inline distT="0" distB="0" distL="0" distR="0">
            <wp:extent cx="4067175" cy="2800350"/>
            <wp:effectExtent l="1905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6" cstate="print"/>
                    <a:srcRect l="14215" t="13530" r="15207"/>
                    <a:stretch>
                      <a:fillRect/>
                    </a:stretch>
                  </pic:blipFill>
                  <pic:spPr>
                    <a:xfrm>
                      <a:off x="0" y="0"/>
                      <a:ext cx="4067175" cy="2800350"/>
                    </a:xfrm>
                    <a:prstGeom prst="rect">
                      <a:avLst/>
                    </a:prstGeom>
                    <a:noFill/>
                    <a:ln w="9525">
                      <a:noFill/>
                      <a:miter lim="800000"/>
                      <a:headEnd/>
                      <a:tailEnd/>
                    </a:ln>
                  </pic:spPr>
                </pic:pic>
              </a:graphicData>
            </a:graphic>
          </wp:inline>
        </w:drawing>
      </w:r>
    </w:p>
    <w:p>
      <w:pPr>
        <w:ind w:firstLine="480" w:firstLineChars="200"/>
        <w:rPr>
          <w:sz w:val="24"/>
          <w:szCs w:val="24"/>
        </w:rPr>
      </w:pPr>
      <w:r>
        <w:rPr>
          <w:rFonts w:hint="eastAsia"/>
          <w:sz w:val="24"/>
          <w:szCs w:val="24"/>
        </w:rPr>
        <w:t>3）体育馆二楼室内篮球场运动木地板承重有限，施工时务必注意高密度板不得堆叠超过3张，以免导致室内篮球场运动木地板压塌，产生事故。</w:t>
      </w:r>
    </w:p>
    <w:p>
      <w:pPr>
        <w:ind w:firstLine="480" w:firstLineChars="200"/>
        <w:rPr>
          <w:sz w:val="24"/>
          <w:szCs w:val="24"/>
        </w:rPr>
      </w:pPr>
      <w:r>
        <w:rPr>
          <w:rFonts w:hint="eastAsia"/>
          <w:sz w:val="24"/>
          <w:szCs w:val="24"/>
        </w:rPr>
        <w:t>4）由于体育馆二楼水泥地面的承重楼板有载重限额，体育馆二楼施工时务必注意高密度板不得堆叠过高，导致发生楼板压塌等安全事故，由此导致后果有施工方承担。施工前由甲方提供体育馆二楼楼板承重数据。</w:t>
      </w:r>
    </w:p>
    <w:p>
      <w:pPr>
        <w:ind w:firstLine="480" w:firstLineChars="200"/>
        <w:rPr>
          <w:sz w:val="24"/>
          <w:szCs w:val="24"/>
        </w:rPr>
      </w:pPr>
      <w:r>
        <w:rPr>
          <w:rFonts w:hint="eastAsia"/>
          <w:sz w:val="24"/>
          <w:szCs w:val="24"/>
        </w:rPr>
        <w:t>5）全部木地板铺设好后，在整个铺设好的木地板的南、北、西三侧的高密度板直角边沿上加薄小角铝边条，用以保护密度板边沿。</w:t>
      </w:r>
    </w:p>
    <w:p>
      <w:pPr>
        <w:ind w:firstLine="480" w:firstLineChars="200"/>
        <w:jc w:val="center"/>
        <w:rPr>
          <w:sz w:val="24"/>
          <w:szCs w:val="24"/>
        </w:rPr>
      </w:pPr>
      <w:r>
        <w:rPr>
          <w:sz w:val="24"/>
          <w:szCs w:val="24"/>
        </w:rPr>
        <w:pict>
          <v:shape id="_x0000_s2050" o:spid="_x0000_s2050" o:spt="3" type="#_x0000_t3" style="position:absolute;left:0pt;margin-left:271.5pt;margin-top:40.7pt;height:71.25pt;width:162pt;z-index:251663360;mso-width-relative:page;mso-height-relative:page;" filled="f" stroked="t" coordsize="21600,21600" o:gfxdata="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f359nZAAAACgEAAA8AAAAAAAAAAQAgAAAAIgAAAGRycy9kb3ducmV2&#10;LnhtbFBLAQIUABQAAAAIAIdO4kDnjmic+wEAAPsDAAAOAAAAAAAAAAEAIAAAACgBAABkcnMvZTJv&#10;RG9jLnhtbFBLBQYAAAAABgAGAFkBAACVBQAAAAA=&#10;">
            <v:path/>
            <v:fill on="f" focussize="0,0"/>
            <v:stroke weight="3pt" color="#FF0000"/>
            <v:imagedata o:title=""/>
            <o:lock v:ext="edit"/>
            <v:textbox>
              <w:txbxContent>
                <w:p>
                  <w:pPr>
                    <w:jc w:val="center"/>
                  </w:pPr>
                </w:p>
              </w:txbxContent>
            </v:textbox>
          </v:shape>
        </w:pict>
      </w:r>
      <w:r>
        <w:rPr>
          <w:rFonts w:hint="eastAsia"/>
          <w:sz w:val="24"/>
          <w:szCs w:val="24"/>
          <w:lang w:val="en-US" w:bidi="ar-SA"/>
        </w:rPr>
        <w:drawing>
          <wp:inline distT="0" distB="0" distL="0" distR="0">
            <wp:extent cx="3267075" cy="1495425"/>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 cstate="print"/>
                    <a:srcRect l="14380" t="64264" r="41687"/>
                    <a:stretch>
                      <a:fillRect/>
                    </a:stretch>
                  </pic:blipFill>
                  <pic:spPr>
                    <a:xfrm>
                      <a:off x="0" y="0"/>
                      <a:ext cx="3267075" cy="1495425"/>
                    </a:xfrm>
                    <a:prstGeom prst="rect">
                      <a:avLst/>
                    </a:prstGeom>
                    <a:noFill/>
                    <a:ln w="9525">
                      <a:noFill/>
                      <a:miter lim="800000"/>
                      <a:headEnd/>
                      <a:tailEnd/>
                    </a:ln>
                  </pic:spPr>
                </pic:pic>
              </a:graphicData>
            </a:graphic>
          </wp:inline>
        </w:drawing>
      </w:r>
    </w:p>
    <w:p>
      <w:pPr>
        <w:rPr>
          <w:b/>
          <w:sz w:val="24"/>
          <w:szCs w:val="24"/>
        </w:rPr>
      </w:pPr>
      <w:r>
        <w:rPr>
          <w:rFonts w:hint="eastAsia"/>
          <w:b/>
          <w:sz w:val="24"/>
          <w:szCs w:val="24"/>
        </w:rPr>
        <w:t>4、比赛结束后拆除所有体育馆二楼室内篮球场所铺设的密度板</w:t>
      </w:r>
    </w:p>
    <w:p>
      <w:pPr>
        <w:rPr>
          <w:sz w:val="24"/>
          <w:szCs w:val="24"/>
        </w:rPr>
      </w:pPr>
      <w:r>
        <w:rPr>
          <w:rFonts w:hint="eastAsia"/>
          <w:b/>
          <w:sz w:val="24"/>
          <w:szCs w:val="24"/>
        </w:rPr>
        <w:t>5、将所有拆除的密度板从二楼体育馆搬运至200米外仓库内并堆放好</w:t>
      </w:r>
    </w:p>
    <w:p>
      <w:pPr>
        <w:rPr>
          <w:b/>
          <w:sz w:val="24"/>
          <w:szCs w:val="24"/>
        </w:rPr>
      </w:pPr>
      <w:r>
        <w:rPr>
          <w:rFonts w:hint="eastAsia"/>
          <w:b/>
          <w:sz w:val="24"/>
          <w:szCs w:val="24"/>
          <w:lang w:val="en-US"/>
        </w:rPr>
        <w:t>二</w:t>
      </w:r>
      <w:r>
        <w:rPr>
          <w:rFonts w:hint="eastAsia"/>
          <w:b/>
          <w:sz w:val="24"/>
          <w:szCs w:val="24"/>
        </w:rPr>
        <w:t>）、地板铺设要求</w:t>
      </w:r>
    </w:p>
    <w:p>
      <w:pPr>
        <w:ind w:firstLine="480" w:firstLineChars="200"/>
        <w:rPr>
          <w:sz w:val="24"/>
          <w:szCs w:val="24"/>
        </w:rPr>
      </w:pPr>
      <w:r>
        <w:rPr>
          <w:rFonts w:hint="eastAsia"/>
          <w:sz w:val="24"/>
          <w:szCs w:val="24"/>
        </w:rPr>
        <w:t>1、篮球场铺设的地板必须保证平整，无突起和凹陷，不得影响对比赛设备的运行和移动搬运。整个地板要在同一水平面上，不能有高低错落影响比赛设备的现象出现。</w:t>
      </w:r>
    </w:p>
    <w:p>
      <w:pPr>
        <w:ind w:firstLine="480" w:firstLineChars="200"/>
        <w:rPr>
          <w:sz w:val="24"/>
          <w:szCs w:val="24"/>
        </w:rPr>
      </w:pPr>
      <w:r>
        <w:rPr>
          <w:rFonts w:hint="eastAsia"/>
          <w:sz w:val="24"/>
          <w:szCs w:val="24"/>
        </w:rPr>
        <w:t>2、铺设的地板彼此间的结合紧密，不会因为人员在地板上走动、移动搬运比赛设备导致地板结合处开裂。</w:t>
      </w:r>
    </w:p>
    <w:p>
      <w:pPr>
        <w:ind w:firstLine="480" w:firstLineChars="200"/>
        <w:rPr>
          <w:sz w:val="24"/>
          <w:szCs w:val="24"/>
        </w:rPr>
      </w:pPr>
      <w:r>
        <w:rPr>
          <w:rFonts w:hint="eastAsia"/>
          <w:sz w:val="24"/>
          <w:szCs w:val="24"/>
        </w:rPr>
        <w:t>3、铺设的地板应当要能保证至少3次的反复安装和拆卸，来年能重复利用。</w:t>
      </w:r>
    </w:p>
    <w:p>
      <w:pPr>
        <w:ind w:firstLine="480" w:firstLineChars="200"/>
        <w:rPr>
          <w:sz w:val="24"/>
          <w:szCs w:val="24"/>
        </w:rPr>
      </w:pPr>
      <w:r>
        <w:rPr>
          <w:rFonts w:hint="eastAsia"/>
          <w:sz w:val="24"/>
          <w:szCs w:val="24"/>
        </w:rPr>
        <w:t>4、铺设的地板本身能承受比赛设备的重量，不会因为设备移动和人员移动导致地板出现损坏的现象。</w:t>
      </w:r>
    </w:p>
    <w:p>
      <w:pPr>
        <w:ind w:firstLine="480" w:firstLineChars="200"/>
        <w:rPr>
          <w:sz w:val="24"/>
          <w:szCs w:val="24"/>
        </w:rPr>
      </w:pPr>
      <w:r>
        <w:rPr>
          <w:rFonts w:hint="eastAsia"/>
          <w:sz w:val="24"/>
          <w:szCs w:val="24"/>
        </w:rPr>
        <w:t>5、铺设的地板要有一定的防潮性，拆除存放一年后能再次利用，不得出现发胀、松散和起鼓等变形的情况。</w:t>
      </w:r>
    </w:p>
    <w:p>
      <w:pPr>
        <w:ind w:firstLine="480" w:firstLineChars="200"/>
        <w:rPr>
          <w:sz w:val="24"/>
          <w:szCs w:val="24"/>
        </w:rPr>
      </w:pPr>
      <w:r>
        <w:rPr>
          <w:rFonts w:hint="eastAsia"/>
          <w:sz w:val="24"/>
          <w:szCs w:val="24"/>
        </w:rPr>
        <w:t>6、铺设的地板不能有明显的异味导致刺鼻难闻，不得影响环保。</w:t>
      </w:r>
    </w:p>
    <w:p>
      <w:pPr>
        <w:ind w:firstLine="480" w:firstLineChars="200"/>
        <w:rPr>
          <w:sz w:val="24"/>
          <w:szCs w:val="24"/>
        </w:rPr>
      </w:pPr>
      <w:r>
        <w:rPr>
          <w:rFonts w:hint="eastAsia"/>
          <w:sz w:val="24"/>
          <w:szCs w:val="24"/>
        </w:rPr>
        <w:t>7、铺设和拆除地板的施工过程中不能影响和损坏原先的篮球场运动木地板。</w:t>
      </w:r>
    </w:p>
    <w:p>
      <w:pPr>
        <w:ind w:firstLine="480" w:firstLineChars="200"/>
        <w:rPr>
          <w:sz w:val="24"/>
          <w:szCs w:val="24"/>
        </w:rPr>
      </w:pPr>
      <w:r>
        <w:rPr>
          <w:rFonts w:hint="eastAsia"/>
          <w:sz w:val="24"/>
          <w:szCs w:val="24"/>
        </w:rPr>
        <w:t>8、篮球场试验铺设的地板相邻两块分别受到重压后接缝处高低要一致，不得影响比赛。</w:t>
      </w:r>
    </w:p>
    <w:p>
      <w:pPr>
        <w:ind w:firstLine="480" w:firstLineChars="200"/>
        <w:rPr>
          <w:sz w:val="24"/>
          <w:szCs w:val="24"/>
        </w:rPr>
      </w:pPr>
      <w:r>
        <w:rPr>
          <w:rFonts w:hint="eastAsia"/>
          <w:sz w:val="24"/>
          <w:szCs w:val="24"/>
        </w:rPr>
        <w:t>9、体育馆北门入口处的导引地板的斜坡角度应过渡平缓，大赛设备上坡移动不受影响。</w:t>
      </w:r>
    </w:p>
    <w:p>
      <w:pPr>
        <w:ind w:firstLine="480" w:firstLineChars="200"/>
        <w:rPr>
          <w:sz w:val="24"/>
          <w:szCs w:val="24"/>
        </w:rPr>
      </w:pPr>
      <w:r>
        <w:rPr>
          <w:rFonts w:hint="eastAsia"/>
          <w:sz w:val="24"/>
          <w:szCs w:val="24"/>
        </w:rPr>
        <w:t>10、地板的接缝应当用透明（或与地板相同颜色）胶带封好，使相邻地板保持平整，同时避免细小杂物进入地板彼此之间的缝隙。</w:t>
      </w:r>
    </w:p>
    <w:p>
      <w:pPr>
        <w:ind w:firstLine="480" w:firstLineChars="200"/>
        <w:rPr>
          <w:rFonts w:hint="eastAsia"/>
          <w:sz w:val="24"/>
          <w:szCs w:val="24"/>
        </w:rPr>
      </w:pPr>
      <w:r>
        <w:rPr>
          <w:rFonts w:hint="eastAsia"/>
          <w:sz w:val="24"/>
          <w:szCs w:val="24"/>
        </w:rPr>
        <w:t>11、进入体育馆二楼室内篮球场运动木地板上施工和工作人员，建议穿胶质鞋底，不得穿损坏室内篮球场运动木地板的鞋。</w:t>
      </w:r>
    </w:p>
    <w:p>
      <w:pPr>
        <w:ind w:firstLine="480" w:firstLineChars="200"/>
        <w:rPr>
          <w:sz w:val="24"/>
          <w:szCs w:val="24"/>
        </w:rPr>
      </w:pPr>
      <w:r>
        <w:rPr>
          <w:rFonts w:hint="eastAsia"/>
          <w:sz w:val="24"/>
          <w:szCs w:val="24"/>
        </w:rPr>
        <w:t>12、施工过程中需要及时清洁现场垃</w:t>
      </w:r>
      <w:r>
        <w:rPr>
          <w:rFonts w:hint="eastAsia"/>
        </w:rPr>
        <w:t>圾杂物，铺设地板结束后要清洁地板使地板表面干净整洁；拆除地板后同样要保持篮球场运动木地板的干净整洁。</w:t>
      </w:r>
    </w:p>
    <w:p>
      <w:pPr>
        <w:spacing w:line="360" w:lineRule="auto"/>
        <w:rPr>
          <w:sz w:val="24"/>
        </w:rPr>
      </w:pPr>
      <w:r>
        <w:rPr>
          <w:rFonts w:hint="eastAsia"/>
          <w:b/>
          <w:sz w:val="24"/>
          <w:szCs w:val="24"/>
          <w:lang w:val="en-US"/>
        </w:rPr>
        <w:t>三）、招标控制价相关内容：</w:t>
      </w:r>
    </w:p>
    <w:p>
      <w:pPr>
        <w:spacing w:line="360" w:lineRule="auto"/>
        <w:ind w:left="187" w:leftChars="85" w:firstLine="600" w:firstLineChars="250"/>
        <w:rPr>
          <w:sz w:val="24"/>
        </w:rPr>
      </w:pPr>
      <w:r>
        <w:rPr>
          <w:rFonts w:hint="eastAsia"/>
          <w:sz w:val="24"/>
        </w:rPr>
        <w:t>1、</w:t>
      </w:r>
      <w:r>
        <w:rPr>
          <w:rFonts w:hint="eastAsia"/>
          <w:b/>
          <w:bCs/>
          <w:sz w:val="24"/>
        </w:rPr>
        <w:t>招标控制单价，按实际数量结算</w:t>
      </w:r>
      <w:r>
        <w:rPr>
          <w:rFonts w:hint="eastAsia"/>
          <w:sz w:val="24"/>
        </w:rPr>
        <w:t>，所有单价已包含人工费、材料费、</w:t>
      </w:r>
      <w:r>
        <w:rPr>
          <w:rFonts w:hint="eastAsia"/>
          <w:sz w:val="24"/>
          <w:lang w:val="en-US"/>
        </w:rPr>
        <w:t>拆装费、</w:t>
      </w:r>
      <w:r>
        <w:rPr>
          <w:rFonts w:hint="eastAsia"/>
          <w:sz w:val="24"/>
        </w:rPr>
        <w:t>措施费，保险费、清运费、税金等</w:t>
      </w:r>
      <w:r>
        <w:rPr>
          <w:rFonts w:hint="eastAsia"/>
          <w:sz w:val="24"/>
          <w:lang w:val="en-US"/>
        </w:rPr>
        <w:t>所有费用</w:t>
      </w:r>
      <w:r>
        <w:rPr>
          <w:rFonts w:hint="eastAsia"/>
          <w:sz w:val="24"/>
        </w:rPr>
        <w:t>。</w:t>
      </w:r>
    </w:p>
    <w:p>
      <w:pPr>
        <w:spacing w:line="360" w:lineRule="auto"/>
        <w:ind w:left="1164" w:leftChars="-180" w:hanging="1560" w:hangingChars="650"/>
        <w:rPr>
          <w:sz w:val="24"/>
        </w:rPr>
      </w:pPr>
      <w:r>
        <w:rPr>
          <w:rFonts w:hint="eastAsia"/>
          <w:sz w:val="24"/>
        </w:rPr>
        <w:t xml:space="preserve">     </w:t>
      </w:r>
      <w:r>
        <w:rPr>
          <w:rFonts w:hint="eastAsia"/>
          <w:sz w:val="24"/>
          <w:lang w:val="en-US"/>
        </w:rPr>
        <w:t xml:space="preserve">     </w:t>
      </w:r>
      <w:r>
        <w:rPr>
          <w:rFonts w:hint="eastAsia"/>
          <w:sz w:val="24"/>
        </w:rPr>
        <w:t>2、本工程质量要求：材料检测合格，竣工验收合格，同时满足采购人需求。</w:t>
      </w:r>
    </w:p>
    <w:p>
      <w:pPr>
        <w:widowControl/>
        <w:rPr>
          <w:b/>
          <w:sz w:val="24"/>
          <w:szCs w:val="24"/>
          <w:lang w:val="en-US"/>
        </w:rPr>
      </w:pPr>
      <w:r>
        <w:rPr>
          <w:rFonts w:hint="eastAsia"/>
          <w:b/>
          <w:sz w:val="24"/>
          <w:szCs w:val="24"/>
          <w:lang w:val="en-US"/>
        </w:rPr>
        <w:t>四）、 验收与付款方式</w:t>
      </w:r>
    </w:p>
    <w:p>
      <w:pPr>
        <w:widowControl/>
        <w:ind w:firstLine="560" w:firstLineChars="200"/>
        <w:rPr>
          <w:spacing w:val="20"/>
          <w:sz w:val="24"/>
        </w:rPr>
      </w:pPr>
      <w:r>
        <w:rPr>
          <w:rFonts w:hint="eastAsia"/>
          <w:spacing w:val="20"/>
          <w:sz w:val="24"/>
        </w:rPr>
        <w:t>审计费用根据《常州工业职业技术学院建设工程项目管理审计办法（修订）》第十八条规定，项目结算审计，将扣除乙方相应费用：</w:t>
      </w:r>
    </w:p>
    <w:p>
      <w:pPr>
        <w:widowControl/>
        <w:ind w:firstLine="560" w:firstLineChars="200"/>
        <w:rPr>
          <w:spacing w:val="20"/>
          <w:sz w:val="24"/>
        </w:rPr>
      </w:pPr>
      <w:r>
        <w:rPr>
          <w:rFonts w:hint="eastAsia"/>
          <w:spacing w:val="20"/>
          <w:sz w:val="24"/>
        </w:rPr>
        <w:t>当竣工结算审计结果中列出的核减率超过5%时，其审计、审核费用全部由施工单位承担，并由建设单位从施工单位工程款中扣除。当竣工结算审计结果中列出的核减率在 5%（含 5%）以下时，其审计、审核费用由建设单位承担。工程管理部门应将本条款作为专用条款列入工程施工承包合同，作为工程费用结算与支付的依据之一。</w:t>
      </w:r>
    </w:p>
    <w:p>
      <w:pPr>
        <w:widowControl/>
        <w:ind w:firstLine="560" w:firstLineChars="200"/>
        <w:rPr>
          <w:spacing w:val="20"/>
          <w:sz w:val="24"/>
        </w:rPr>
      </w:pPr>
      <w:r>
        <w:rPr>
          <w:rFonts w:hint="eastAsia"/>
          <w:spacing w:val="20"/>
          <w:sz w:val="24"/>
        </w:rPr>
        <w:t>付款方式：本工程无预付款，工程竣工验收合格</w:t>
      </w:r>
      <w:r>
        <w:rPr>
          <w:rFonts w:hint="eastAsia"/>
          <w:spacing w:val="20"/>
          <w:sz w:val="24"/>
          <w:lang w:val="en-US"/>
        </w:rPr>
        <w:t>且</w:t>
      </w:r>
      <w:r>
        <w:rPr>
          <w:rFonts w:hint="eastAsia"/>
          <w:spacing w:val="20"/>
          <w:sz w:val="24"/>
        </w:rPr>
        <w:t>审计结束后20个工作日内支付至审定金额的</w:t>
      </w:r>
      <w:r>
        <w:rPr>
          <w:rFonts w:hint="eastAsia"/>
          <w:spacing w:val="20"/>
          <w:sz w:val="24"/>
          <w:lang w:val="en-US"/>
        </w:rPr>
        <w:t>100%</w:t>
      </w:r>
      <w:r>
        <w:rPr>
          <w:rFonts w:hint="eastAsia"/>
          <w:spacing w:val="20"/>
          <w:sz w:val="24"/>
        </w:rPr>
        <w:t>。</w:t>
      </w:r>
    </w:p>
    <w:p>
      <w:pPr>
        <w:ind w:firstLine="482" w:firstLineChars="200"/>
        <w:rPr>
          <w:b/>
          <w:bCs/>
          <w:sz w:val="24"/>
          <w:szCs w:val="24"/>
        </w:rPr>
      </w:pPr>
      <w:r>
        <w:rPr>
          <w:rFonts w:hint="eastAsia"/>
          <w:b/>
          <w:bCs/>
          <w:sz w:val="24"/>
          <w:szCs w:val="24"/>
        </w:rPr>
        <w:t>二、报价单</w:t>
      </w:r>
    </w:p>
    <w:p>
      <w:pPr>
        <w:rPr>
          <w:kern w:val="2"/>
          <w:sz w:val="21"/>
          <w:szCs w:val="21"/>
        </w:rPr>
      </w:pPr>
      <w:r>
        <w:rPr>
          <w:rFonts w:hint="eastAsia"/>
        </w:rPr>
        <w:t xml:space="preserve"> </w:t>
      </w:r>
    </w:p>
    <w:tbl>
      <w:tblPr>
        <w:tblStyle w:val="9"/>
        <w:tblW w:w="14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461"/>
        <w:gridCol w:w="3035"/>
        <w:gridCol w:w="1294"/>
        <w:gridCol w:w="1759"/>
        <w:gridCol w:w="1113"/>
        <w:gridCol w:w="1113"/>
        <w:gridCol w:w="1113"/>
        <w:gridCol w:w="1113"/>
        <w:gridCol w:w="1113"/>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jc w:val="center"/>
        </w:trPr>
        <w:tc>
          <w:tcPr>
            <w:tcW w:w="629" w:type="dxa"/>
            <w:tcBorders>
              <w:bottom w:val="single" w:color="auto" w:sz="4" w:space="0"/>
            </w:tcBorders>
            <w:vAlign w:val="center"/>
          </w:tcPr>
          <w:p>
            <w:pPr>
              <w:widowControl/>
              <w:jc w:val="center"/>
              <w:textAlignment w:val="center"/>
              <w:rPr>
                <w:b/>
                <w:bCs/>
                <w:sz w:val="24"/>
              </w:rPr>
            </w:pPr>
            <w:r>
              <w:rPr>
                <w:rFonts w:hint="eastAsia"/>
                <w:b/>
                <w:sz w:val="18"/>
                <w:szCs w:val="18"/>
                <w:lang w:val="en-US"/>
              </w:rPr>
              <w:t>序号</w:t>
            </w:r>
          </w:p>
        </w:tc>
        <w:tc>
          <w:tcPr>
            <w:tcW w:w="1461" w:type="dxa"/>
            <w:tcBorders>
              <w:bottom w:val="single" w:color="auto" w:sz="4" w:space="0"/>
            </w:tcBorders>
            <w:vAlign w:val="center"/>
          </w:tcPr>
          <w:p>
            <w:pPr>
              <w:widowControl/>
              <w:jc w:val="center"/>
              <w:textAlignment w:val="center"/>
              <w:rPr>
                <w:b/>
                <w:bCs/>
                <w:sz w:val="24"/>
              </w:rPr>
            </w:pPr>
            <w:r>
              <w:rPr>
                <w:rFonts w:hint="eastAsia"/>
                <w:b/>
                <w:sz w:val="18"/>
                <w:szCs w:val="18"/>
                <w:lang w:val="en-US"/>
              </w:rPr>
              <w:t>项目名称</w:t>
            </w:r>
          </w:p>
        </w:tc>
        <w:tc>
          <w:tcPr>
            <w:tcW w:w="3035" w:type="dxa"/>
            <w:tcBorders>
              <w:bottom w:val="single" w:color="auto" w:sz="4" w:space="0"/>
            </w:tcBorders>
            <w:vAlign w:val="center"/>
          </w:tcPr>
          <w:p>
            <w:pPr>
              <w:widowControl/>
              <w:jc w:val="center"/>
              <w:textAlignment w:val="center"/>
              <w:rPr>
                <w:b/>
                <w:bCs/>
                <w:sz w:val="24"/>
              </w:rPr>
            </w:pPr>
            <w:r>
              <w:rPr>
                <w:rFonts w:hint="eastAsia"/>
                <w:b/>
                <w:sz w:val="18"/>
                <w:szCs w:val="18"/>
                <w:lang w:val="en-US"/>
              </w:rPr>
              <w:t>项目特征</w:t>
            </w:r>
          </w:p>
        </w:tc>
        <w:tc>
          <w:tcPr>
            <w:tcW w:w="1294" w:type="dxa"/>
            <w:tcBorders>
              <w:bottom w:val="single" w:color="auto" w:sz="4" w:space="0"/>
            </w:tcBorders>
            <w:vAlign w:val="center"/>
          </w:tcPr>
          <w:p>
            <w:pPr>
              <w:widowControl/>
              <w:jc w:val="center"/>
              <w:textAlignment w:val="center"/>
              <w:rPr>
                <w:b/>
                <w:bCs/>
                <w:sz w:val="24"/>
              </w:rPr>
            </w:pPr>
            <w:r>
              <w:rPr>
                <w:rFonts w:hint="eastAsia"/>
                <w:b/>
                <w:sz w:val="18"/>
                <w:szCs w:val="18"/>
                <w:lang w:val="en-US"/>
              </w:rPr>
              <w:t>计量单位</w:t>
            </w:r>
          </w:p>
        </w:tc>
        <w:tc>
          <w:tcPr>
            <w:tcW w:w="1759" w:type="dxa"/>
            <w:tcBorders>
              <w:bottom w:val="single" w:color="auto" w:sz="4" w:space="0"/>
            </w:tcBorders>
            <w:vAlign w:val="center"/>
          </w:tcPr>
          <w:p>
            <w:pPr>
              <w:widowControl/>
              <w:jc w:val="center"/>
              <w:textAlignment w:val="center"/>
              <w:rPr>
                <w:b/>
                <w:bCs/>
                <w:sz w:val="24"/>
              </w:rPr>
            </w:pPr>
            <w:r>
              <w:rPr>
                <w:rFonts w:hint="eastAsia"/>
                <w:b/>
                <w:sz w:val="18"/>
                <w:szCs w:val="18"/>
                <w:lang w:val="en-US"/>
              </w:rPr>
              <w:t>工程数量</w:t>
            </w:r>
          </w:p>
        </w:tc>
        <w:tc>
          <w:tcPr>
            <w:tcW w:w="1113" w:type="dxa"/>
            <w:tcBorders>
              <w:bottom w:val="single" w:color="auto" w:sz="4" w:space="0"/>
            </w:tcBorders>
            <w:vAlign w:val="center"/>
          </w:tcPr>
          <w:p>
            <w:pPr>
              <w:widowControl/>
              <w:jc w:val="center"/>
              <w:textAlignment w:val="center"/>
              <w:rPr>
                <w:b/>
                <w:bCs/>
                <w:sz w:val="24"/>
                <w:lang w:val="en-US"/>
              </w:rPr>
            </w:pPr>
            <w:r>
              <w:rPr>
                <w:rFonts w:hint="eastAsia" w:asciiTheme="minorEastAsia" w:hAnsiTheme="minorEastAsia" w:eastAsiaTheme="minorEastAsia"/>
                <w:b/>
                <w:szCs w:val="21"/>
              </w:rPr>
              <w:t>全费用综合单价最高限价</w:t>
            </w:r>
          </w:p>
        </w:tc>
        <w:tc>
          <w:tcPr>
            <w:tcW w:w="1113" w:type="dxa"/>
            <w:tcBorders>
              <w:bottom w:val="single" w:color="auto" w:sz="4" w:space="0"/>
            </w:tcBorders>
            <w:vAlign w:val="center"/>
          </w:tcPr>
          <w:p>
            <w:pPr>
              <w:widowControl/>
              <w:jc w:val="center"/>
              <w:textAlignment w:val="center"/>
              <w:rPr>
                <w:rFonts w:asciiTheme="minorEastAsia" w:hAnsiTheme="minorEastAsia" w:eastAsiaTheme="minorEastAsia"/>
                <w:b/>
                <w:szCs w:val="21"/>
              </w:rPr>
            </w:pPr>
            <w:r>
              <w:rPr>
                <w:rFonts w:hint="eastAsia" w:asciiTheme="minorEastAsia" w:hAnsiTheme="minorEastAsia" w:eastAsiaTheme="minorEastAsia"/>
                <w:b/>
                <w:szCs w:val="21"/>
              </w:rPr>
              <w:t>单价</w:t>
            </w:r>
          </w:p>
        </w:tc>
        <w:tc>
          <w:tcPr>
            <w:tcW w:w="1113" w:type="dxa"/>
            <w:tcBorders>
              <w:bottom w:val="single" w:color="auto" w:sz="4" w:space="0"/>
            </w:tcBorders>
            <w:vAlign w:val="center"/>
          </w:tcPr>
          <w:p>
            <w:pPr>
              <w:widowControl/>
              <w:jc w:val="center"/>
              <w:textAlignment w:val="center"/>
              <w:rPr>
                <w:rFonts w:asciiTheme="minorEastAsia" w:hAnsiTheme="minorEastAsia" w:eastAsiaTheme="minorEastAsia"/>
                <w:b/>
                <w:szCs w:val="21"/>
              </w:rPr>
            </w:pPr>
            <w:r>
              <w:rPr>
                <w:rFonts w:hint="eastAsia" w:asciiTheme="minorEastAsia" w:hAnsiTheme="minorEastAsia" w:eastAsiaTheme="minorEastAsia"/>
                <w:b/>
                <w:szCs w:val="21"/>
              </w:rPr>
              <w:t>总价</w:t>
            </w:r>
          </w:p>
        </w:tc>
        <w:tc>
          <w:tcPr>
            <w:tcW w:w="1113" w:type="dxa"/>
            <w:tcBorders>
              <w:bottom w:val="single" w:color="auto" w:sz="4" w:space="0"/>
            </w:tcBorders>
            <w:vAlign w:val="center"/>
          </w:tcPr>
          <w:p>
            <w:pPr>
              <w:widowControl/>
              <w:jc w:val="center"/>
              <w:textAlignment w:val="center"/>
              <w:rPr>
                <w:rFonts w:asciiTheme="minorEastAsia" w:hAnsiTheme="minorEastAsia" w:eastAsiaTheme="minorEastAsia"/>
                <w:b/>
                <w:szCs w:val="21"/>
              </w:rPr>
            </w:pPr>
            <w:r>
              <w:rPr>
                <w:rFonts w:hint="eastAsia" w:asciiTheme="minorEastAsia" w:hAnsiTheme="minorEastAsia" w:eastAsiaTheme="minorEastAsia"/>
                <w:b/>
                <w:szCs w:val="21"/>
              </w:rPr>
              <w:t>质保期</w:t>
            </w:r>
          </w:p>
        </w:tc>
        <w:tc>
          <w:tcPr>
            <w:tcW w:w="1113" w:type="dxa"/>
            <w:tcBorders>
              <w:bottom w:val="single" w:color="auto" w:sz="4" w:space="0"/>
            </w:tcBorders>
            <w:vAlign w:val="center"/>
          </w:tcPr>
          <w:p>
            <w:pPr>
              <w:widowControl/>
              <w:jc w:val="center"/>
              <w:textAlignment w:val="center"/>
              <w:rPr>
                <w:rFonts w:asciiTheme="minorEastAsia" w:hAnsiTheme="minorEastAsia" w:eastAsiaTheme="minorEastAsia"/>
                <w:b/>
                <w:bCs/>
                <w:szCs w:val="21"/>
              </w:rPr>
            </w:pPr>
            <w:r>
              <w:rPr>
                <w:rFonts w:hint="eastAsia"/>
                <w:b/>
                <w:bCs/>
              </w:rPr>
              <w:t>完工期</w:t>
            </w:r>
          </w:p>
        </w:tc>
        <w:tc>
          <w:tcPr>
            <w:tcW w:w="1113" w:type="dxa"/>
            <w:tcBorders>
              <w:bottom w:val="single" w:color="auto" w:sz="4" w:space="0"/>
            </w:tcBorders>
            <w:vAlign w:val="center"/>
          </w:tcPr>
          <w:p>
            <w:pPr>
              <w:widowControl/>
              <w:jc w:val="center"/>
              <w:textAlignment w:val="center"/>
              <w:rPr>
                <w:b/>
                <w:bCs/>
              </w:rPr>
            </w:pPr>
            <w:r>
              <w:rPr>
                <w:rFonts w:hint="eastAsia"/>
                <w:b/>
                <w:bCs/>
              </w:rPr>
              <w:t>故障</w:t>
            </w:r>
            <w:r>
              <w:rPr>
                <w:rFonts w:hint="eastAsia"/>
                <w:b/>
                <w:bCs/>
                <w:lang w:val="en-US"/>
              </w:rPr>
              <w:t>/服务</w:t>
            </w:r>
            <w:r>
              <w:rPr>
                <w:rFonts w:hint="eastAsia"/>
                <w:b/>
                <w:bCs/>
              </w:rPr>
              <w:t>响应时间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629" w:type="dxa"/>
            <w:vAlign w:val="center"/>
          </w:tcPr>
          <w:p>
            <w:pPr>
              <w:widowControl/>
              <w:jc w:val="center"/>
              <w:textAlignment w:val="center"/>
              <w:rPr>
                <w:b/>
                <w:bCs/>
                <w:sz w:val="24"/>
                <w:lang w:val="en-US"/>
              </w:rPr>
            </w:pPr>
            <w:r>
              <w:rPr>
                <w:rFonts w:hint="eastAsia"/>
                <w:color w:val="000000"/>
                <w:sz w:val="20"/>
                <w:szCs w:val="20"/>
                <w:lang w:val="en-US"/>
              </w:rPr>
              <w:t>1</w:t>
            </w:r>
          </w:p>
        </w:tc>
        <w:tc>
          <w:tcPr>
            <w:tcW w:w="1461" w:type="dxa"/>
            <w:vAlign w:val="center"/>
          </w:tcPr>
          <w:p>
            <w:pPr>
              <w:widowControl/>
              <w:jc w:val="center"/>
              <w:textAlignment w:val="center"/>
              <w:rPr>
                <w:b/>
                <w:bCs/>
                <w:sz w:val="24"/>
                <w:lang w:val="en-US"/>
              </w:rPr>
            </w:pPr>
            <w:r>
              <w:rPr>
                <w:rFonts w:hint="eastAsia"/>
                <w:color w:val="000000"/>
                <w:sz w:val="20"/>
                <w:szCs w:val="20"/>
                <w:lang w:val="en-US"/>
              </w:rPr>
              <w:t>高密度板搬运费</w:t>
            </w:r>
          </w:p>
        </w:tc>
        <w:tc>
          <w:tcPr>
            <w:tcW w:w="3035" w:type="dxa"/>
            <w:vAlign w:val="center"/>
          </w:tcPr>
          <w:p>
            <w:pPr>
              <w:widowControl/>
              <w:jc w:val="center"/>
              <w:textAlignment w:val="center"/>
            </w:pPr>
            <w:r>
              <w:rPr>
                <w:rFonts w:hint="eastAsia"/>
                <w:color w:val="000000"/>
                <w:sz w:val="20"/>
                <w:szCs w:val="20"/>
                <w:lang w:val="en-US"/>
              </w:rPr>
              <w:t>详见施工要求，含施工前仓库搬出及结束拆除后搬入仓库</w:t>
            </w:r>
          </w:p>
        </w:tc>
        <w:tc>
          <w:tcPr>
            <w:tcW w:w="1294" w:type="dxa"/>
            <w:vAlign w:val="center"/>
          </w:tcPr>
          <w:p>
            <w:pPr>
              <w:widowControl/>
              <w:jc w:val="center"/>
              <w:textAlignment w:val="center"/>
            </w:pPr>
            <w:r>
              <w:rPr>
                <w:rFonts w:hint="eastAsia"/>
                <w:color w:val="000000"/>
                <w:sz w:val="20"/>
                <w:szCs w:val="20"/>
                <w:lang w:val="en-US"/>
              </w:rPr>
              <w:t>m2</w:t>
            </w:r>
          </w:p>
        </w:tc>
        <w:tc>
          <w:tcPr>
            <w:tcW w:w="1759" w:type="dxa"/>
            <w:vAlign w:val="center"/>
          </w:tcPr>
          <w:p>
            <w:pPr>
              <w:widowControl/>
              <w:jc w:val="center"/>
              <w:textAlignment w:val="center"/>
              <w:rPr>
                <w:lang w:val="en-US"/>
              </w:rPr>
            </w:pPr>
            <w:r>
              <w:rPr>
                <w:rFonts w:hint="eastAsia"/>
                <w:color w:val="000000"/>
                <w:sz w:val="20"/>
                <w:szCs w:val="20"/>
                <w:lang w:val="en-US"/>
              </w:rPr>
              <w:t>820</w:t>
            </w:r>
          </w:p>
        </w:tc>
        <w:tc>
          <w:tcPr>
            <w:tcW w:w="1113" w:type="dxa"/>
            <w:vAlign w:val="center"/>
          </w:tcPr>
          <w:p>
            <w:pPr>
              <w:widowControl/>
              <w:jc w:val="center"/>
              <w:textAlignment w:val="center"/>
              <w:rPr>
                <w:lang w:val="en-US"/>
              </w:rPr>
            </w:pPr>
            <w:r>
              <w:rPr>
                <w:rFonts w:hint="eastAsia"/>
                <w:color w:val="000000"/>
                <w:sz w:val="20"/>
                <w:szCs w:val="20"/>
                <w:lang w:val="en-US"/>
              </w:rPr>
              <w:t>14.00</w:t>
            </w:r>
          </w:p>
        </w:tc>
        <w:tc>
          <w:tcPr>
            <w:tcW w:w="1113" w:type="dxa"/>
            <w:vAlign w:val="center"/>
          </w:tcPr>
          <w:p>
            <w:pPr>
              <w:widowControl/>
              <w:jc w:val="center"/>
              <w:textAlignment w:val="center"/>
              <w:rPr>
                <w:sz w:val="18"/>
                <w:szCs w:val="18"/>
                <w:lang w:val="en-US"/>
              </w:rPr>
            </w:pPr>
          </w:p>
        </w:tc>
        <w:tc>
          <w:tcPr>
            <w:tcW w:w="1113" w:type="dxa"/>
            <w:vAlign w:val="center"/>
          </w:tcPr>
          <w:p>
            <w:pPr>
              <w:widowControl/>
              <w:jc w:val="center"/>
              <w:textAlignment w:val="center"/>
              <w:rPr>
                <w:sz w:val="18"/>
                <w:szCs w:val="18"/>
                <w:lang w:val="en-US"/>
              </w:rPr>
            </w:pPr>
          </w:p>
        </w:tc>
        <w:tc>
          <w:tcPr>
            <w:tcW w:w="1113" w:type="dxa"/>
            <w:vMerge w:val="restart"/>
            <w:vAlign w:val="center"/>
          </w:tcPr>
          <w:p>
            <w:pPr>
              <w:widowControl/>
              <w:jc w:val="center"/>
              <w:textAlignment w:val="center"/>
              <w:rPr>
                <w:sz w:val="18"/>
                <w:szCs w:val="18"/>
                <w:lang w:val="en-US"/>
              </w:rPr>
            </w:pPr>
            <w:r>
              <w:rPr>
                <w:rFonts w:hint="eastAsia"/>
                <w:sz w:val="18"/>
                <w:szCs w:val="18"/>
                <w:u w:val="single"/>
                <w:lang w:val="en-US"/>
              </w:rPr>
              <w:t xml:space="preserve">    </w:t>
            </w:r>
            <w:r>
              <w:rPr>
                <w:rFonts w:hint="eastAsia"/>
                <w:sz w:val="18"/>
                <w:szCs w:val="18"/>
                <w:lang w:val="en-US"/>
              </w:rPr>
              <w:t>月</w:t>
            </w:r>
          </w:p>
        </w:tc>
        <w:tc>
          <w:tcPr>
            <w:tcW w:w="1113" w:type="dxa"/>
            <w:vMerge w:val="restart"/>
            <w:vAlign w:val="center"/>
          </w:tcPr>
          <w:p>
            <w:pPr>
              <w:widowControl/>
              <w:jc w:val="both"/>
              <w:textAlignment w:val="center"/>
              <w:rPr>
                <w:sz w:val="18"/>
                <w:szCs w:val="18"/>
                <w:u w:val="single"/>
                <w:lang w:val="en-US"/>
              </w:rPr>
            </w:pPr>
            <w:r>
              <w:rPr>
                <w:rFonts w:hint="eastAsia"/>
                <w:sz w:val="18"/>
                <w:szCs w:val="18"/>
                <w:u w:val="single"/>
                <w:lang w:val="en-US"/>
              </w:rPr>
              <w:t xml:space="preserve">      </w:t>
            </w:r>
            <w:r>
              <w:rPr>
                <w:rFonts w:hint="eastAsia"/>
                <w:sz w:val="18"/>
                <w:szCs w:val="18"/>
                <w:lang w:val="en-US"/>
              </w:rPr>
              <w:t>天</w:t>
            </w:r>
          </w:p>
        </w:tc>
        <w:tc>
          <w:tcPr>
            <w:tcW w:w="1113" w:type="dxa"/>
            <w:vMerge w:val="restart"/>
            <w:vAlign w:val="center"/>
          </w:tcPr>
          <w:p>
            <w:pPr>
              <w:widowControl/>
              <w:jc w:val="both"/>
              <w:textAlignment w:val="center"/>
              <w:rPr>
                <w:sz w:val="18"/>
                <w:szCs w:val="18"/>
                <w:lang w:val="en-US"/>
              </w:rPr>
            </w:pPr>
            <w:r>
              <w:rPr>
                <w:rFonts w:hint="eastAsia"/>
                <w:sz w:val="18"/>
                <w:szCs w:val="18"/>
                <w:u w:val="single"/>
                <w:lang w:val="en-US"/>
              </w:rPr>
              <w:t xml:space="preserve">     </w:t>
            </w:r>
            <w:r>
              <w:rPr>
                <w:rFonts w:hint="eastAsia"/>
                <w:sz w:val="18"/>
                <w:szCs w:val="18"/>
                <w:lang w:val="en-US"/>
              </w:rPr>
              <w:t>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629" w:type="dxa"/>
            <w:vAlign w:val="center"/>
          </w:tcPr>
          <w:p>
            <w:pPr>
              <w:widowControl/>
              <w:jc w:val="center"/>
              <w:textAlignment w:val="center"/>
              <w:rPr>
                <w:sz w:val="18"/>
                <w:szCs w:val="18"/>
                <w:lang w:val="en-US"/>
              </w:rPr>
            </w:pPr>
            <w:r>
              <w:rPr>
                <w:rFonts w:hint="eastAsia"/>
                <w:color w:val="000000"/>
                <w:sz w:val="20"/>
                <w:szCs w:val="20"/>
                <w:lang w:val="en-US"/>
              </w:rPr>
              <w:t>2</w:t>
            </w:r>
          </w:p>
        </w:tc>
        <w:tc>
          <w:tcPr>
            <w:tcW w:w="1461" w:type="dxa"/>
            <w:vAlign w:val="center"/>
          </w:tcPr>
          <w:p>
            <w:pPr>
              <w:widowControl/>
              <w:jc w:val="center"/>
              <w:textAlignment w:val="center"/>
              <w:rPr>
                <w:sz w:val="18"/>
                <w:szCs w:val="18"/>
                <w:lang w:val="en-US"/>
              </w:rPr>
            </w:pPr>
            <w:r>
              <w:rPr>
                <w:rFonts w:hint="eastAsia"/>
                <w:color w:val="000000"/>
                <w:sz w:val="20"/>
                <w:szCs w:val="20"/>
                <w:lang w:val="en-US"/>
              </w:rPr>
              <w:t>原有及新增高密度板铺设、拆除费</w:t>
            </w:r>
          </w:p>
        </w:tc>
        <w:tc>
          <w:tcPr>
            <w:tcW w:w="3035" w:type="dxa"/>
            <w:vAlign w:val="center"/>
          </w:tcPr>
          <w:p>
            <w:pPr>
              <w:widowControl/>
              <w:jc w:val="center"/>
              <w:textAlignment w:val="center"/>
              <w:rPr>
                <w:sz w:val="18"/>
                <w:szCs w:val="18"/>
                <w:lang w:val="en-US"/>
              </w:rPr>
            </w:pPr>
            <w:r>
              <w:rPr>
                <w:rFonts w:hint="eastAsia"/>
                <w:color w:val="000000"/>
                <w:sz w:val="20"/>
                <w:szCs w:val="20"/>
                <w:lang w:val="en-US"/>
              </w:rPr>
              <w:t>详见甲方施工要求</w:t>
            </w:r>
          </w:p>
        </w:tc>
        <w:tc>
          <w:tcPr>
            <w:tcW w:w="1294" w:type="dxa"/>
            <w:vAlign w:val="center"/>
          </w:tcPr>
          <w:p>
            <w:pPr>
              <w:widowControl/>
              <w:jc w:val="center"/>
              <w:textAlignment w:val="center"/>
              <w:rPr>
                <w:sz w:val="18"/>
                <w:szCs w:val="18"/>
                <w:lang w:val="en-US"/>
              </w:rPr>
            </w:pPr>
            <w:r>
              <w:rPr>
                <w:rFonts w:hint="eastAsia"/>
                <w:color w:val="000000"/>
                <w:sz w:val="20"/>
                <w:szCs w:val="20"/>
                <w:lang w:val="en-US"/>
              </w:rPr>
              <w:t>m2</w:t>
            </w:r>
          </w:p>
        </w:tc>
        <w:tc>
          <w:tcPr>
            <w:tcW w:w="1759" w:type="dxa"/>
            <w:vAlign w:val="center"/>
          </w:tcPr>
          <w:p>
            <w:pPr>
              <w:widowControl/>
              <w:jc w:val="center"/>
              <w:textAlignment w:val="center"/>
              <w:rPr>
                <w:sz w:val="18"/>
                <w:szCs w:val="18"/>
                <w:lang w:val="en-US"/>
              </w:rPr>
            </w:pPr>
            <w:r>
              <w:rPr>
                <w:rFonts w:hint="eastAsia"/>
                <w:color w:val="000000"/>
                <w:sz w:val="20"/>
                <w:szCs w:val="20"/>
                <w:lang w:val="en-US"/>
              </w:rPr>
              <w:t>820</w:t>
            </w:r>
          </w:p>
        </w:tc>
        <w:tc>
          <w:tcPr>
            <w:tcW w:w="1113" w:type="dxa"/>
            <w:vAlign w:val="center"/>
          </w:tcPr>
          <w:p>
            <w:pPr>
              <w:widowControl/>
              <w:jc w:val="center"/>
              <w:textAlignment w:val="center"/>
              <w:rPr>
                <w:sz w:val="18"/>
                <w:szCs w:val="18"/>
                <w:lang w:val="en-US"/>
              </w:rPr>
            </w:pPr>
            <w:r>
              <w:rPr>
                <w:rFonts w:hint="eastAsia"/>
                <w:color w:val="000000"/>
                <w:sz w:val="20"/>
                <w:szCs w:val="20"/>
                <w:lang w:val="en-US"/>
              </w:rPr>
              <w:t>8.00</w:t>
            </w:r>
          </w:p>
        </w:tc>
        <w:tc>
          <w:tcPr>
            <w:tcW w:w="1113" w:type="dxa"/>
            <w:vAlign w:val="center"/>
          </w:tcPr>
          <w:p>
            <w:pPr>
              <w:widowControl/>
              <w:jc w:val="center"/>
              <w:textAlignment w:val="center"/>
              <w:rPr>
                <w:sz w:val="18"/>
                <w:szCs w:val="18"/>
                <w:lang w:val="en-US"/>
              </w:rPr>
            </w:pPr>
          </w:p>
        </w:tc>
        <w:tc>
          <w:tcPr>
            <w:tcW w:w="1113" w:type="dxa"/>
            <w:vAlign w:val="center"/>
          </w:tcPr>
          <w:p>
            <w:pPr>
              <w:widowControl/>
              <w:jc w:val="center"/>
              <w:textAlignment w:val="center"/>
              <w:rPr>
                <w:sz w:val="18"/>
                <w:szCs w:val="18"/>
                <w:lang w:val="en-US"/>
              </w:rPr>
            </w:pPr>
          </w:p>
        </w:tc>
        <w:tc>
          <w:tcPr>
            <w:tcW w:w="1113" w:type="dxa"/>
            <w:vMerge w:val="continue"/>
            <w:vAlign w:val="center"/>
          </w:tcPr>
          <w:p>
            <w:pPr>
              <w:widowControl/>
              <w:jc w:val="center"/>
              <w:textAlignment w:val="center"/>
              <w:rPr>
                <w:sz w:val="18"/>
                <w:szCs w:val="18"/>
                <w:lang w:val="en-US"/>
              </w:rPr>
            </w:pPr>
          </w:p>
        </w:tc>
        <w:tc>
          <w:tcPr>
            <w:tcW w:w="1113" w:type="dxa"/>
            <w:vMerge w:val="continue"/>
            <w:vAlign w:val="center"/>
          </w:tcPr>
          <w:p>
            <w:pPr>
              <w:widowControl/>
              <w:jc w:val="center"/>
              <w:textAlignment w:val="center"/>
              <w:rPr>
                <w:sz w:val="18"/>
                <w:szCs w:val="18"/>
                <w:lang w:val="en-US"/>
              </w:rPr>
            </w:pPr>
          </w:p>
        </w:tc>
        <w:tc>
          <w:tcPr>
            <w:tcW w:w="1113" w:type="dxa"/>
            <w:vMerge w:val="continue"/>
            <w:vAlign w:val="center"/>
          </w:tcPr>
          <w:p>
            <w:pPr>
              <w:widowControl/>
              <w:jc w:val="center"/>
              <w:textAlignment w:val="center"/>
              <w:rPr>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629" w:type="dxa"/>
            <w:vAlign w:val="center"/>
          </w:tcPr>
          <w:p>
            <w:pPr>
              <w:widowControl/>
              <w:jc w:val="center"/>
              <w:textAlignment w:val="center"/>
              <w:rPr>
                <w:sz w:val="18"/>
                <w:szCs w:val="18"/>
                <w:lang w:val="en-US"/>
              </w:rPr>
            </w:pPr>
            <w:r>
              <w:rPr>
                <w:rFonts w:hint="eastAsia"/>
                <w:color w:val="000000"/>
                <w:sz w:val="20"/>
                <w:szCs w:val="20"/>
                <w:lang w:val="en-US"/>
              </w:rPr>
              <w:t>3</w:t>
            </w:r>
          </w:p>
        </w:tc>
        <w:tc>
          <w:tcPr>
            <w:tcW w:w="1461" w:type="dxa"/>
            <w:vAlign w:val="center"/>
          </w:tcPr>
          <w:p>
            <w:pPr>
              <w:widowControl/>
              <w:jc w:val="center"/>
              <w:textAlignment w:val="center"/>
              <w:rPr>
                <w:sz w:val="18"/>
                <w:szCs w:val="18"/>
                <w:lang w:val="en-US"/>
              </w:rPr>
            </w:pPr>
            <w:r>
              <w:rPr>
                <w:rFonts w:hint="eastAsia"/>
                <w:color w:val="000000"/>
                <w:sz w:val="20"/>
                <w:szCs w:val="20"/>
                <w:lang w:val="en-US"/>
              </w:rPr>
              <w:t>新增高密度板材料费</w:t>
            </w:r>
          </w:p>
        </w:tc>
        <w:tc>
          <w:tcPr>
            <w:tcW w:w="3035" w:type="dxa"/>
            <w:vAlign w:val="center"/>
          </w:tcPr>
          <w:p>
            <w:pPr>
              <w:widowControl/>
              <w:jc w:val="center"/>
              <w:textAlignment w:val="center"/>
              <w:rPr>
                <w:sz w:val="18"/>
                <w:szCs w:val="18"/>
                <w:lang w:val="en-US"/>
              </w:rPr>
            </w:pPr>
            <w:r>
              <w:rPr>
                <w:rFonts w:hint="eastAsia"/>
                <w:color w:val="000000"/>
                <w:sz w:val="20"/>
                <w:szCs w:val="20"/>
                <w:lang w:val="en-US"/>
              </w:rPr>
              <w:t>规格1220*2440*18MM</w:t>
            </w:r>
          </w:p>
        </w:tc>
        <w:tc>
          <w:tcPr>
            <w:tcW w:w="1294" w:type="dxa"/>
            <w:vAlign w:val="center"/>
          </w:tcPr>
          <w:p>
            <w:pPr>
              <w:widowControl/>
              <w:jc w:val="center"/>
              <w:textAlignment w:val="center"/>
              <w:rPr>
                <w:sz w:val="18"/>
                <w:szCs w:val="18"/>
                <w:lang w:val="en-US"/>
              </w:rPr>
            </w:pPr>
            <w:r>
              <w:rPr>
                <w:rFonts w:hint="eastAsia"/>
                <w:color w:val="000000"/>
                <w:sz w:val="20"/>
                <w:szCs w:val="20"/>
                <w:lang w:val="en-US"/>
              </w:rPr>
              <w:t>m2</w:t>
            </w:r>
          </w:p>
        </w:tc>
        <w:tc>
          <w:tcPr>
            <w:tcW w:w="1759" w:type="dxa"/>
            <w:vAlign w:val="center"/>
          </w:tcPr>
          <w:p>
            <w:pPr>
              <w:widowControl/>
              <w:jc w:val="center"/>
              <w:textAlignment w:val="center"/>
              <w:rPr>
                <w:sz w:val="18"/>
                <w:szCs w:val="18"/>
                <w:lang w:val="en-US"/>
              </w:rPr>
            </w:pPr>
            <w:r>
              <w:rPr>
                <w:rFonts w:hint="eastAsia"/>
                <w:color w:val="000000"/>
                <w:sz w:val="20"/>
                <w:szCs w:val="20"/>
                <w:lang w:val="en-US"/>
              </w:rPr>
              <w:t>120</w:t>
            </w:r>
          </w:p>
        </w:tc>
        <w:tc>
          <w:tcPr>
            <w:tcW w:w="1113" w:type="dxa"/>
            <w:vAlign w:val="center"/>
          </w:tcPr>
          <w:p>
            <w:pPr>
              <w:widowControl/>
              <w:jc w:val="center"/>
              <w:textAlignment w:val="center"/>
              <w:rPr>
                <w:sz w:val="18"/>
                <w:szCs w:val="18"/>
                <w:lang w:val="en-US"/>
              </w:rPr>
            </w:pPr>
            <w:r>
              <w:rPr>
                <w:rFonts w:hint="eastAsia"/>
                <w:color w:val="000000"/>
                <w:sz w:val="20"/>
                <w:szCs w:val="20"/>
                <w:lang w:val="en-US"/>
              </w:rPr>
              <w:t>105.00</w:t>
            </w:r>
          </w:p>
        </w:tc>
        <w:tc>
          <w:tcPr>
            <w:tcW w:w="1113" w:type="dxa"/>
            <w:vAlign w:val="center"/>
          </w:tcPr>
          <w:p>
            <w:pPr>
              <w:widowControl/>
              <w:jc w:val="center"/>
              <w:textAlignment w:val="center"/>
              <w:rPr>
                <w:sz w:val="18"/>
                <w:szCs w:val="18"/>
                <w:lang w:val="en-US"/>
              </w:rPr>
            </w:pPr>
          </w:p>
        </w:tc>
        <w:tc>
          <w:tcPr>
            <w:tcW w:w="1113" w:type="dxa"/>
            <w:vAlign w:val="center"/>
          </w:tcPr>
          <w:p>
            <w:pPr>
              <w:widowControl/>
              <w:jc w:val="center"/>
              <w:textAlignment w:val="center"/>
              <w:rPr>
                <w:sz w:val="18"/>
                <w:szCs w:val="18"/>
                <w:lang w:val="en-US"/>
              </w:rPr>
            </w:pPr>
          </w:p>
        </w:tc>
        <w:tc>
          <w:tcPr>
            <w:tcW w:w="1113" w:type="dxa"/>
            <w:vMerge w:val="continue"/>
            <w:vAlign w:val="center"/>
          </w:tcPr>
          <w:p>
            <w:pPr>
              <w:widowControl/>
              <w:jc w:val="center"/>
              <w:textAlignment w:val="center"/>
              <w:rPr>
                <w:sz w:val="18"/>
                <w:szCs w:val="18"/>
                <w:lang w:val="en-US"/>
              </w:rPr>
            </w:pPr>
          </w:p>
        </w:tc>
        <w:tc>
          <w:tcPr>
            <w:tcW w:w="1113" w:type="dxa"/>
            <w:vMerge w:val="continue"/>
            <w:vAlign w:val="center"/>
          </w:tcPr>
          <w:p>
            <w:pPr>
              <w:widowControl/>
              <w:jc w:val="center"/>
              <w:textAlignment w:val="center"/>
              <w:rPr>
                <w:sz w:val="18"/>
                <w:szCs w:val="18"/>
                <w:lang w:val="en-US"/>
              </w:rPr>
            </w:pPr>
          </w:p>
        </w:tc>
        <w:tc>
          <w:tcPr>
            <w:tcW w:w="1113" w:type="dxa"/>
            <w:vMerge w:val="continue"/>
            <w:vAlign w:val="center"/>
          </w:tcPr>
          <w:p>
            <w:pPr>
              <w:widowControl/>
              <w:jc w:val="center"/>
              <w:textAlignment w:val="center"/>
              <w:rPr>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10404" w:type="dxa"/>
            <w:gridSpan w:val="7"/>
            <w:vAlign w:val="center"/>
          </w:tcPr>
          <w:p>
            <w:pPr>
              <w:widowControl/>
              <w:jc w:val="center"/>
              <w:textAlignment w:val="center"/>
              <w:rPr>
                <w:sz w:val="18"/>
                <w:szCs w:val="18"/>
                <w:lang w:val="en-US"/>
              </w:rPr>
            </w:pPr>
            <w:r>
              <w:rPr>
                <w:rFonts w:hint="eastAsia"/>
                <w:b/>
                <w:sz w:val="18"/>
                <w:szCs w:val="18"/>
                <w:lang w:val="en-US"/>
              </w:rPr>
              <w:t>投标总价（元）</w:t>
            </w:r>
          </w:p>
        </w:tc>
        <w:tc>
          <w:tcPr>
            <w:tcW w:w="1113" w:type="dxa"/>
            <w:vAlign w:val="center"/>
          </w:tcPr>
          <w:p>
            <w:pPr>
              <w:widowControl/>
              <w:jc w:val="center"/>
              <w:textAlignment w:val="center"/>
              <w:rPr>
                <w:sz w:val="18"/>
                <w:szCs w:val="18"/>
                <w:lang w:val="en-US"/>
              </w:rPr>
            </w:pPr>
          </w:p>
        </w:tc>
        <w:tc>
          <w:tcPr>
            <w:tcW w:w="1113" w:type="dxa"/>
            <w:vMerge w:val="continue"/>
            <w:vAlign w:val="center"/>
          </w:tcPr>
          <w:p>
            <w:pPr>
              <w:widowControl/>
              <w:jc w:val="center"/>
              <w:textAlignment w:val="center"/>
              <w:rPr>
                <w:sz w:val="18"/>
                <w:szCs w:val="18"/>
                <w:lang w:val="en-US"/>
              </w:rPr>
            </w:pPr>
          </w:p>
        </w:tc>
        <w:tc>
          <w:tcPr>
            <w:tcW w:w="1113" w:type="dxa"/>
            <w:vMerge w:val="continue"/>
            <w:vAlign w:val="center"/>
          </w:tcPr>
          <w:p>
            <w:pPr>
              <w:widowControl/>
              <w:jc w:val="center"/>
              <w:textAlignment w:val="center"/>
              <w:rPr>
                <w:sz w:val="18"/>
                <w:szCs w:val="18"/>
                <w:lang w:val="en-US"/>
              </w:rPr>
            </w:pPr>
          </w:p>
        </w:tc>
        <w:tc>
          <w:tcPr>
            <w:tcW w:w="1113" w:type="dxa"/>
            <w:vMerge w:val="continue"/>
            <w:vAlign w:val="center"/>
          </w:tcPr>
          <w:p>
            <w:pPr>
              <w:widowControl/>
              <w:jc w:val="center"/>
              <w:textAlignment w:val="center"/>
              <w:rPr>
                <w:sz w:val="18"/>
                <w:szCs w:val="18"/>
                <w:lang w:val="en-US"/>
              </w:rPr>
            </w:pPr>
          </w:p>
        </w:tc>
      </w:tr>
    </w:tbl>
    <w:p>
      <w:pPr>
        <w:rPr>
          <w:kern w:val="2"/>
          <w:sz w:val="21"/>
          <w:szCs w:val="21"/>
        </w:rPr>
      </w:pPr>
    </w:p>
    <w:p>
      <w:pPr>
        <w:pStyle w:val="5"/>
        <w:ind w:firstLine="3253" w:firstLineChars="1800"/>
        <w:jc w:val="left"/>
        <w:rPr>
          <w:rFonts w:hAnsi="宋体"/>
          <w:b/>
          <w:bCs/>
          <w:sz w:val="18"/>
          <w:szCs w:val="18"/>
        </w:rPr>
      </w:pPr>
    </w:p>
    <w:p>
      <w:pPr>
        <w:pStyle w:val="5"/>
        <w:ind w:firstLine="3253" w:firstLineChars="1800"/>
        <w:jc w:val="left"/>
        <w:rPr>
          <w:rFonts w:hAnsi="宋体"/>
          <w:b/>
          <w:bCs/>
          <w:sz w:val="18"/>
          <w:szCs w:val="18"/>
        </w:rPr>
      </w:pPr>
    </w:p>
    <w:p>
      <w:pPr>
        <w:pStyle w:val="5"/>
        <w:rPr>
          <w:rFonts w:hAnsi="宋体" w:cs="宋体"/>
          <w:b/>
          <w:bCs/>
          <w:kern w:val="0"/>
          <w:sz w:val="24"/>
          <w:szCs w:val="22"/>
          <w:lang w:bidi="zh-CN"/>
        </w:rPr>
      </w:pPr>
      <w:r>
        <w:rPr>
          <w:rFonts w:hint="eastAsia" w:hAnsi="宋体" w:cs="宋体"/>
          <w:b/>
          <w:bCs/>
          <w:kern w:val="0"/>
          <w:sz w:val="24"/>
          <w:szCs w:val="22"/>
          <w:lang w:bidi="zh-CN"/>
        </w:rPr>
        <w:t>供应商单位名称（盖印）：                        联系人：                         联系电话：</w:t>
      </w:r>
    </w:p>
    <w:p>
      <w:pPr>
        <w:widowControl/>
        <w:rPr>
          <w:rFonts w:ascii="仿宋" w:hAnsi="仿宋" w:eastAsia="仿宋"/>
          <w:sz w:val="18"/>
          <w:szCs w:val="18"/>
        </w:rPr>
      </w:pPr>
    </w:p>
    <w:p>
      <w:pPr>
        <w:rPr>
          <w:sz w:val="21"/>
          <w:szCs w:val="21"/>
        </w:rPr>
      </w:pPr>
      <w:r>
        <w:rPr>
          <w:rFonts w:hint="eastAsia" w:ascii="仿宋" w:hAnsi="仿宋" w:eastAsia="仿宋"/>
          <w:sz w:val="21"/>
          <w:szCs w:val="21"/>
        </w:rPr>
        <w:t xml:space="preserve">  </w:t>
      </w:r>
    </w:p>
    <w:p>
      <w:r>
        <w:rPr>
          <w:rFonts w:hint="eastAsia"/>
        </w:rPr>
        <w:t>说明：</w:t>
      </w:r>
    </w:p>
    <w:p>
      <w:pPr>
        <w:autoSpaceDE/>
        <w:autoSpaceDN/>
        <w:ind w:firstLine="440" w:firstLineChars="200"/>
      </w:pPr>
      <w:r>
        <w:t>1</w:t>
      </w:r>
      <w:r>
        <w:rPr>
          <w:rFonts w:hint="eastAsia"/>
        </w:rPr>
        <w:t>、供应商报价时必须包含相应货物或者服务的供货、包装、运输、保险、安装调试管理、劳务、培训、办公设备、设备、工具、耗材、运送工具及耗材、利润、风险、税金及政策性文件规定等各项应有费用，以及为完成该项货物或者服务项目所涉及到的一切相关费用。本项目最高限价为</w:t>
      </w:r>
      <w:r>
        <w:rPr>
          <w:rFonts w:hint="eastAsia"/>
          <w:lang w:val="en-US"/>
        </w:rPr>
        <w:t>30640.00</w:t>
      </w:r>
      <w:r>
        <w:rPr>
          <w:rFonts w:hint="eastAsia"/>
        </w:rPr>
        <w:t>元，</w:t>
      </w:r>
      <w:r>
        <w:rPr>
          <w:rFonts w:hint="eastAsia"/>
          <w:b/>
          <w:szCs w:val="21"/>
        </w:rPr>
        <w:t>报价高于最高限价及</w:t>
      </w:r>
      <w:r>
        <w:rPr>
          <w:b/>
          <w:szCs w:val="21"/>
        </w:rPr>
        <w:t>清单中</w:t>
      </w:r>
      <w:r>
        <w:rPr>
          <w:rFonts w:hint="eastAsia"/>
          <w:b/>
          <w:szCs w:val="21"/>
        </w:rPr>
        <w:t>全费用</w:t>
      </w:r>
      <w:r>
        <w:rPr>
          <w:b/>
          <w:szCs w:val="21"/>
        </w:rPr>
        <w:t>综合单价</w:t>
      </w:r>
      <w:r>
        <w:rPr>
          <w:rFonts w:hint="eastAsia"/>
          <w:b/>
          <w:szCs w:val="21"/>
        </w:rPr>
        <w:t>的作为无效响应处理。</w:t>
      </w:r>
      <w:r>
        <w:rPr>
          <w:rFonts w:hint="eastAsia"/>
        </w:rPr>
        <w:t>。</w:t>
      </w:r>
    </w:p>
    <w:p>
      <w:pPr>
        <w:autoSpaceDE/>
        <w:autoSpaceDN/>
        <w:ind w:left="440" w:leftChars="200"/>
        <w:rPr>
          <w:lang w:val="en-US"/>
        </w:rPr>
      </w:pPr>
      <w:r>
        <w:rPr>
          <w:rFonts w:hint="eastAsia"/>
        </w:rPr>
        <w:t xml:space="preserve">2、请在报价单中填写响应采购人货物报价等内容，打印后盖上单位公章。                                                                                                                               </w:t>
      </w:r>
      <w:r>
        <w:rPr>
          <w:rFonts w:hint="eastAsia"/>
          <w:lang w:val="en-US"/>
        </w:rPr>
        <w:t xml:space="preserve">  </w:t>
      </w:r>
    </w:p>
    <w:p>
      <w:pPr>
        <w:autoSpaceDE/>
        <w:autoSpaceDN/>
        <w:ind w:left="440" w:leftChars="200"/>
      </w:pPr>
      <w:r>
        <w:rPr>
          <w:rFonts w:hint="eastAsia"/>
          <w:lang w:val="en-US"/>
        </w:rPr>
        <w:t>3、</w:t>
      </w:r>
      <w:r>
        <w:rPr>
          <w:rFonts w:hint="eastAsia"/>
          <w:b/>
          <w:bCs/>
        </w:rPr>
        <w:t>附上单位资质证明材料复印件（包括营业执照、组织机构代码证、税务登记证或三证合一），复印件加盖单位公章。</w:t>
      </w:r>
    </w:p>
    <w:p>
      <w:pPr>
        <w:autoSpaceDE/>
        <w:autoSpaceDN/>
        <w:ind w:firstLine="440" w:firstLineChars="200"/>
      </w:pPr>
      <w:r>
        <w:rPr>
          <w:rFonts w:hint="eastAsia"/>
          <w:lang w:val="en-US"/>
        </w:rPr>
        <w:t>4</w:t>
      </w:r>
      <w:r>
        <w:rPr>
          <w:rFonts w:hint="eastAsia"/>
        </w:rPr>
        <w:t>、本询价单一式三份，盖印，密封。</w:t>
      </w:r>
    </w:p>
    <w:p>
      <w:pPr>
        <w:autoSpaceDE/>
        <w:autoSpaceDN/>
        <w:ind w:firstLine="440" w:firstLineChars="200"/>
      </w:pPr>
      <w:r>
        <w:rPr>
          <w:rFonts w:hint="eastAsia"/>
          <w:lang w:val="en-US"/>
        </w:rPr>
        <w:t>5</w:t>
      </w:r>
      <w:r>
        <w:rPr>
          <w:rFonts w:hint="eastAsia"/>
        </w:rPr>
        <w:t>、递交方式一：请于202</w:t>
      </w:r>
      <w:r>
        <w:rPr>
          <w:rFonts w:hint="eastAsia"/>
          <w:lang w:val="en-US"/>
        </w:rPr>
        <w:t>3</w:t>
      </w:r>
      <w:r>
        <w:rPr>
          <w:rFonts w:hint="eastAsia"/>
        </w:rPr>
        <w:t>年1月</w:t>
      </w:r>
      <w:r>
        <w:rPr>
          <w:rFonts w:hint="eastAsia"/>
          <w:lang w:val="en-US"/>
        </w:rPr>
        <w:t>4</w:t>
      </w:r>
      <w:r>
        <w:rPr>
          <w:rFonts w:hint="eastAsia"/>
        </w:rPr>
        <w:t>日16:00（北京时间）前将询价报告送至常州工业职业技术学院</w:t>
      </w:r>
      <w:r>
        <w:rPr>
          <w:rFonts w:hint="eastAsia"/>
          <w:lang w:val="en-US"/>
        </w:rPr>
        <w:t>北门岗，请至少提前1小时</w:t>
      </w:r>
      <w:r>
        <w:rPr>
          <w:rFonts w:hint="eastAsia"/>
        </w:rPr>
        <w:t>联系</w:t>
      </w:r>
      <w:r>
        <w:rPr>
          <w:rFonts w:hint="eastAsia"/>
          <w:lang w:val="en-US"/>
        </w:rPr>
        <w:t>投标文件接收人</w:t>
      </w:r>
      <w:r>
        <w:rPr>
          <w:rFonts w:hint="eastAsia"/>
        </w:rPr>
        <w:t>。</w:t>
      </w:r>
      <w:r>
        <w:rPr>
          <w:rFonts w:hint="eastAsia"/>
          <w:lang w:val="en-US"/>
        </w:rPr>
        <w:t>投标文件接收人：</w:t>
      </w:r>
      <w:r>
        <w:rPr>
          <w:rFonts w:hint="eastAsia"/>
        </w:rPr>
        <w:t>王老师 电话：</w:t>
      </w:r>
      <w:r>
        <w:rPr>
          <w:rFonts w:hint="eastAsia"/>
          <w:lang w:val="en-US" w:eastAsia="zh-CN"/>
        </w:rPr>
        <w:t>15861179712/0519-86335166</w:t>
      </w:r>
      <w:r>
        <w:rPr>
          <w:rFonts w:hint="eastAsia"/>
        </w:rPr>
        <w:t>。</w:t>
      </w:r>
    </w:p>
    <w:p>
      <w:pPr>
        <w:autoSpaceDE/>
        <w:autoSpaceDN/>
        <w:ind w:firstLine="440" w:firstLineChars="200"/>
      </w:pPr>
      <w:r>
        <w:rPr>
          <w:rFonts w:hint="eastAsia"/>
        </w:rPr>
        <w:t xml:space="preserve">递交方式二：邮寄送达至常州市武进区鸣新中路28号常州工业职业技术学院图文楼1008室 收件人：王老师 </w:t>
      </w:r>
      <w:r>
        <w:rPr>
          <w:rFonts w:hint="eastAsia"/>
          <w:lang w:val="en-US"/>
        </w:rPr>
        <w:t xml:space="preserve"> </w:t>
      </w:r>
      <w:r>
        <w:rPr>
          <w:rFonts w:hint="eastAsia"/>
          <w:lang w:val="en-US" w:eastAsia="zh-CN"/>
        </w:rPr>
        <w:t>15861179712/0519-86335166</w:t>
      </w:r>
      <w:bookmarkStart w:id="0" w:name="_GoBack"/>
      <w:bookmarkEnd w:id="0"/>
      <w:r>
        <w:rPr>
          <w:rFonts w:hint="eastAsia"/>
        </w:rPr>
        <w:t>，邮寄接收截止时间：202</w:t>
      </w:r>
      <w:r>
        <w:rPr>
          <w:rFonts w:hint="eastAsia"/>
          <w:lang w:val="en-US"/>
        </w:rPr>
        <w:t>3</w:t>
      </w:r>
      <w:r>
        <w:rPr>
          <w:rFonts w:hint="eastAsia"/>
        </w:rPr>
        <w:t>年1月</w:t>
      </w:r>
      <w:r>
        <w:rPr>
          <w:rFonts w:hint="eastAsia"/>
          <w:lang w:val="en-US"/>
        </w:rPr>
        <w:t>4</w:t>
      </w:r>
      <w:r>
        <w:rPr>
          <w:rFonts w:hint="eastAsia"/>
        </w:rPr>
        <w:t>日16:00（北京时间），邮寄接收以到达时间为准，请供应商自行考虑邮寄在途时间，确保在响应文件递交截止时间前到达。</w:t>
      </w:r>
    </w:p>
    <w:p>
      <w:pPr>
        <w:autoSpaceDE/>
        <w:autoSpaceDN/>
        <w:ind w:firstLine="440" w:firstLineChars="200"/>
      </w:pPr>
      <w:r>
        <w:rPr>
          <w:rFonts w:hint="eastAsia"/>
          <w:lang w:val="en-US"/>
        </w:rPr>
        <w:t>6</w:t>
      </w:r>
      <w:r>
        <w:rPr>
          <w:rFonts w:hint="eastAsia"/>
        </w:rPr>
        <w:t>、成交原则：在符合采购需求、质量和服务相等且报价未超过采购预算的前提下，以提出最低报价的响应单位为成交供应商。若最低报价相同，则依次按技术指标高优先、质量保证期长优先、完工期期短优先、故障服务响应时间短优先的顺序排列选择成交供应商。</w:t>
      </w:r>
    </w:p>
    <w:p>
      <w:pPr>
        <w:autoSpaceDE/>
        <w:autoSpaceDN/>
        <w:ind w:firstLine="440" w:firstLineChars="200"/>
      </w:pPr>
      <w:r>
        <w:rPr>
          <w:rFonts w:hint="eastAsia"/>
          <w:lang w:val="en-US"/>
        </w:rPr>
        <w:t>7</w:t>
      </w:r>
      <w:r>
        <w:rPr>
          <w:rFonts w:hint="eastAsia"/>
        </w:rPr>
        <w:t>、付款方式：本工程无预付款，工程竣工验收合格</w:t>
      </w:r>
      <w:r>
        <w:rPr>
          <w:rFonts w:hint="eastAsia"/>
          <w:lang w:val="en-US"/>
        </w:rPr>
        <w:t>且</w:t>
      </w:r>
      <w:r>
        <w:rPr>
          <w:rFonts w:hint="eastAsia"/>
        </w:rPr>
        <w:t>审计结束后20个工作日内支付至审定金额的</w:t>
      </w:r>
      <w:r>
        <w:rPr>
          <w:rFonts w:hint="eastAsia"/>
          <w:lang w:val="en-US"/>
        </w:rPr>
        <w:t>100%</w:t>
      </w:r>
      <w:r>
        <w:rPr>
          <w:rFonts w:hint="eastAsia"/>
        </w:rPr>
        <w:t>。</w:t>
      </w:r>
    </w:p>
    <w:p>
      <w:pPr>
        <w:autoSpaceDE/>
        <w:autoSpaceDN/>
        <w:ind w:firstLine="440" w:firstLineChars="200"/>
      </w:pPr>
      <w:r>
        <w:rPr>
          <w:rFonts w:hint="eastAsia"/>
          <w:lang w:val="en-US"/>
        </w:rPr>
        <w:t>8</w:t>
      </w:r>
      <w:r>
        <w:rPr>
          <w:rFonts w:hint="eastAsia"/>
        </w:rPr>
        <w:t>、送货地点：常州工业职业技术学院内。</w:t>
      </w:r>
    </w:p>
    <w:p/>
    <w:p/>
    <w:sectPr>
      <w:pgSz w:w="16783" w:h="11850" w:orient="landscape"/>
      <w:pgMar w:top="720" w:right="720" w:bottom="720" w:left="720"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ocumentProtection w:enforcement="0"/>
  <w:defaultTabStop w:val="720"/>
  <w:drawingGridHorizontalSpacing w:val="110"/>
  <w:noPunctuationKerning w:val="1"/>
  <w:characterSpacingControl w:val="doNotCompres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gxY2MyZDQxM2QyNDlmNzdiZTdjZmYwOWVmMjZjZWYifQ=="/>
    <w:docVar w:name="KSO_WPS_MARK_KEY" w:val="906f6899-3680-40b6-85f7-0830ff9b2496"/>
  </w:docVars>
  <w:rsids>
    <w:rsidRoot w:val="00E8441F"/>
    <w:rsid w:val="00003942"/>
    <w:rsid w:val="0001561C"/>
    <w:rsid w:val="00097233"/>
    <w:rsid w:val="001A2AA4"/>
    <w:rsid w:val="00296BA6"/>
    <w:rsid w:val="002D25C8"/>
    <w:rsid w:val="002E6590"/>
    <w:rsid w:val="0036511E"/>
    <w:rsid w:val="003738EB"/>
    <w:rsid w:val="003927F9"/>
    <w:rsid w:val="003E1D71"/>
    <w:rsid w:val="00493D1A"/>
    <w:rsid w:val="00535326"/>
    <w:rsid w:val="00654D9B"/>
    <w:rsid w:val="006C6CDA"/>
    <w:rsid w:val="0070783E"/>
    <w:rsid w:val="00732F5E"/>
    <w:rsid w:val="0083332A"/>
    <w:rsid w:val="00896B2D"/>
    <w:rsid w:val="008D6D55"/>
    <w:rsid w:val="008E7295"/>
    <w:rsid w:val="009C4ADA"/>
    <w:rsid w:val="00A458C6"/>
    <w:rsid w:val="00A65261"/>
    <w:rsid w:val="00C56643"/>
    <w:rsid w:val="00D01CD9"/>
    <w:rsid w:val="00D0738D"/>
    <w:rsid w:val="00E50B01"/>
    <w:rsid w:val="00E8441F"/>
    <w:rsid w:val="00EA1C12"/>
    <w:rsid w:val="00EE1BAB"/>
    <w:rsid w:val="01012747"/>
    <w:rsid w:val="014468F6"/>
    <w:rsid w:val="01D825D8"/>
    <w:rsid w:val="025F014F"/>
    <w:rsid w:val="03E101A1"/>
    <w:rsid w:val="041549CD"/>
    <w:rsid w:val="0674128B"/>
    <w:rsid w:val="075071C0"/>
    <w:rsid w:val="09EC6FA7"/>
    <w:rsid w:val="0B7B3DFA"/>
    <w:rsid w:val="0BF1299E"/>
    <w:rsid w:val="0C491CC8"/>
    <w:rsid w:val="0F3B0E2D"/>
    <w:rsid w:val="0FED474E"/>
    <w:rsid w:val="120F6754"/>
    <w:rsid w:val="124101FE"/>
    <w:rsid w:val="125A03FB"/>
    <w:rsid w:val="12B03A39"/>
    <w:rsid w:val="13337776"/>
    <w:rsid w:val="13A04913"/>
    <w:rsid w:val="13BE7914"/>
    <w:rsid w:val="13DC2C33"/>
    <w:rsid w:val="13E6655D"/>
    <w:rsid w:val="13E749A9"/>
    <w:rsid w:val="168F3D22"/>
    <w:rsid w:val="169C29DE"/>
    <w:rsid w:val="16DD548F"/>
    <w:rsid w:val="1AD14EF9"/>
    <w:rsid w:val="1B9E271C"/>
    <w:rsid w:val="1C900D7F"/>
    <w:rsid w:val="1E174B9B"/>
    <w:rsid w:val="1EBE58F3"/>
    <w:rsid w:val="1F445484"/>
    <w:rsid w:val="1F5B3470"/>
    <w:rsid w:val="1F730E11"/>
    <w:rsid w:val="20076BB9"/>
    <w:rsid w:val="20EA7482"/>
    <w:rsid w:val="21936FFC"/>
    <w:rsid w:val="24291756"/>
    <w:rsid w:val="243C7593"/>
    <w:rsid w:val="272A4EE7"/>
    <w:rsid w:val="275D2F59"/>
    <w:rsid w:val="27BB7B3A"/>
    <w:rsid w:val="27F531EF"/>
    <w:rsid w:val="283454E6"/>
    <w:rsid w:val="285D486D"/>
    <w:rsid w:val="2B4D56C7"/>
    <w:rsid w:val="2BD0117A"/>
    <w:rsid w:val="2BDF4DB7"/>
    <w:rsid w:val="2C6D088E"/>
    <w:rsid w:val="2D4C7236"/>
    <w:rsid w:val="2FD92212"/>
    <w:rsid w:val="3073301B"/>
    <w:rsid w:val="311D1DE2"/>
    <w:rsid w:val="3288079B"/>
    <w:rsid w:val="32C75EB3"/>
    <w:rsid w:val="337B6646"/>
    <w:rsid w:val="34100142"/>
    <w:rsid w:val="35864BB0"/>
    <w:rsid w:val="3BE154C2"/>
    <w:rsid w:val="3C860462"/>
    <w:rsid w:val="40622ABA"/>
    <w:rsid w:val="40EC1294"/>
    <w:rsid w:val="40F756E6"/>
    <w:rsid w:val="41B4690A"/>
    <w:rsid w:val="41F047F8"/>
    <w:rsid w:val="443B7ACB"/>
    <w:rsid w:val="44B91234"/>
    <w:rsid w:val="45A75430"/>
    <w:rsid w:val="4654475D"/>
    <w:rsid w:val="479F3609"/>
    <w:rsid w:val="48E272A5"/>
    <w:rsid w:val="492D7334"/>
    <w:rsid w:val="49C17194"/>
    <w:rsid w:val="4AE14CBA"/>
    <w:rsid w:val="4C6E5760"/>
    <w:rsid w:val="4C8A5AD5"/>
    <w:rsid w:val="4DFC5621"/>
    <w:rsid w:val="4F770DB0"/>
    <w:rsid w:val="50BF5A41"/>
    <w:rsid w:val="5119109F"/>
    <w:rsid w:val="513F6741"/>
    <w:rsid w:val="52D32044"/>
    <w:rsid w:val="53BA3974"/>
    <w:rsid w:val="543B4222"/>
    <w:rsid w:val="54837DFD"/>
    <w:rsid w:val="54B2197E"/>
    <w:rsid w:val="58885F01"/>
    <w:rsid w:val="599538B4"/>
    <w:rsid w:val="5FC3389D"/>
    <w:rsid w:val="60BF33AA"/>
    <w:rsid w:val="62134635"/>
    <w:rsid w:val="623775C5"/>
    <w:rsid w:val="63435913"/>
    <w:rsid w:val="654F0935"/>
    <w:rsid w:val="67AA2C7D"/>
    <w:rsid w:val="67B11755"/>
    <w:rsid w:val="6A5F1E44"/>
    <w:rsid w:val="6E725DD2"/>
    <w:rsid w:val="6ED0734B"/>
    <w:rsid w:val="6F1C41C9"/>
    <w:rsid w:val="6F904450"/>
    <w:rsid w:val="6FD701B0"/>
    <w:rsid w:val="70733D17"/>
    <w:rsid w:val="71454D65"/>
    <w:rsid w:val="71934765"/>
    <w:rsid w:val="71957B2A"/>
    <w:rsid w:val="730259BC"/>
    <w:rsid w:val="76BE78CD"/>
    <w:rsid w:val="77EA3FD9"/>
    <w:rsid w:val="7A5C2251"/>
    <w:rsid w:val="7B975C77"/>
    <w:rsid w:val="7C3A5963"/>
    <w:rsid w:val="7D5F5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rules v:ext="edit">
        <o:r id="V:Rule1" type="connector" idref="#_x0000_s2051"/>
        <o:r id="V:Rule2" type="connector" idref="#_x0000_s2053"/>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2"/>
    <w:basedOn w:val="1"/>
    <w:next w:val="1"/>
    <w:semiHidden/>
    <w:unhideWhenUsed/>
    <w:qFormat/>
    <w:uiPriority w:val="0"/>
    <w:pPr>
      <w:spacing w:beforeAutospacing="1" w:afterAutospacing="1"/>
      <w:outlineLvl w:val="1"/>
    </w:pPr>
    <w:rPr>
      <w:rFonts w:hint="eastAsia" w:cs="Times New Roman"/>
      <w:b/>
      <w:bCs/>
      <w:sz w:val="36"/>
      <w:szCs w:val="36"/>
      <w:lang w:val="en-US"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Body Text"/>
    <w:basedOn w:val="1"/>
    <w:qFormat/>
    <w:uiPriority w:val="1"/>
    <w:rPr>
      <w:b/>
      <w:bCs/>
      <w:sz w:val="28"/>
      <w:szCs w:val="28"/>
    </w:rPr>
  </w:style>
  <w:style w:type="paragraph" w:styleId="5">
    <w:name w:val="Plain Text"/>
    <w:basedOn w:val="1"/>
    <w:link w:val="17"/>
    <w:unhideWhenUsed/>
    <w:qFormat/>
    <w:uiPriority w:val="99"/>
    <w:pPr>
      <w:autoSpaceDE/>
      <w:autoSpaceDN/>
      <w:jc w:val="both"/>
    </w:pPr>
    <w:rPr>
      <w:rFonts w:hAnsi="Courier New" w:cs="Courier New"/>
      <w:kern w:val="2"/>
      <w:sz w:val="21"/>
      <w:szCs w:val="21"/>
      <w:lang w:val="en-US" w:bidi="ar-SA"/>
    </w:rPr>
  </w:style>
  <w:style w:type="paragraph" w:styleId="6">
    <w:name w:val="Balloon Text"/>
    <w:basedOn w:val="1"/>
    <w:link w:val="25"/>
    <w:uiPriority w:val="0"/>
    <w:rPr>
      <w:sz w:val="18"/>
      <w:szCs w:val="18"/>
    </w:rPr>
  </w:style>
  <w:style w:type="paragraph" w:styleId="7">
    <w:name w:val="footer"/>
    <w:basedOn w:val="1"/>
    <w:link w:val="24"/>
    <w:uiPriority w:val="0"/>
    <w:pPr>
      <w:tabs>
        <w:tab w:val="center" w:pos="4153"/>
        <w:tab w:val="right" w:pos="8306"/>
      </w:tabs>
      <w:snapToGrid w:val="0"/>
    </w:pPr>
    <w:rPr>
      <w:sz w:val="18"/>
      <w:szCs w:val="18"/>
    </w:rPr>
  </w:style>
  <w:style w:type="paragraph" w:styleId="8">
    <w:name w:val="header"/>
    <w:basedOn w:val="1"/>
    <w:link w:val="23"/>
    <w:uiPriority w:val="0"/>
    <w:pPr>
      <w:pBdr>
        <w:bottom w:val="single" w:color="auto" w:sz="6" w:space="1"/>
      </w:pBdr>
      <w:tabs>
        <w:tab w:val="center" w:pos="4153"/>
        <w:tab w:val="right" w:pos="8306"/>
      </w:tabs>
      <w:snapToGrid w:val="0"/>
      <w:jc w:val="center"/>
    </w:pPr>
    <w:rPr>
      <w:sz w:val="18"/>
      <w:szCs w:val="18"/>
    </w:rPr>
  </w:style>
  <w:style w:type="character" w:styleId="11">
    <w:name w:val="Strong"/>
    <w:basedOn w:val="10"/>
    <w:qFormat/>
    <w:uiPriority w:val="0"/>
    <w:rPr>
      <w:b/>
    </w:rPr>
  </w:style>
  <w:style w:type="character" w:styleId="12">
    <w:name w:val="FollowedHyperlink"/>
    <w:basedOn w:val="10"/>
    <w:qFormat/>
    <w:uiPriority w:val="0"/>
    <w:rPr>
      <w:color w:val="333333"/>
      <w:u w:val="none"/>
    </w:rPr>
  </w:style>
  <w:style w:type="character" w:styleId="13">
    <w:name w:val="Hyperlink"/>
    <w:basedOn w:val="10"/>
    <w:qFormat/>
    <w:uiPriority w:val="0"/>
    <w:rPr>
      <w:color w:val="333333"/>
      <w:u w:val="none"/>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style>
  <w:style w:type="paragraph" w:customStyle="1" w:styleId="16">
    <w:name w:val="Table Paragraph"/>
    <w:basedOn w:val="1"/>
    <w:qFormat/>
    <w:uiPriority w:val="1"/>
  </w:style>
  <w:style w:type="character" w:customStyle="1" w:styleId="17">
    <w:name w:val="纯文本 Char"/>
    <w:basedOn w:val="10"/>
    <w:link w:val="5"/>
    <w:qFormat/>
    <w:uiPriority w:val="99"/>
    <w:rPr>
      <w:rFonts w:ascii="宋体" w:hAnsi="Courier New" w:cs="Courier New"/>
      <w:kern w:val="2"/>
      <w:sz w:val="21"/>
      <w:szCs w:val="21"/>
    </w:rPr>
  </w:style>
  <w:style w:type="character" w:customStyle="1" w:styleId="18">
    <w:name w:val="pubdate-day"/>
    <w:basedOn w:val="10"/>
    <w:qFormat/>
    <w:uiPriority w:val="0"/>
    <w:rPr>
      <w:shd w:val="clear" w:color="auto" w:fill="F2F2F2"/>
    </w:rPr>
  </w:style>
  <w:style w:type="character" w:customStyle="1" w:styleId="19">
    <w:name w:val="item-name"/>
    <w:basedOn w:val="10"/>
    <w:qFormat/>
    <w:uiPriority w:val="0"/>
  </w:style>
  <w:style w:type="character" w:customStyle="1" w:styleId="20">
    <w:name w:val="item-name1"/>
    <w:basedOn w:val="10"/>
    <w:qFormat/>
    <w:uiPriority w:val="0"/>
  </w:style>
  <w:style w:type="character" w:customStyle="1" w:styleId="21">
    <w:name w:val="yb"/>
    <w:basedOn w:val="10"/>
    <w:qFormat/>
    <w:uiPriority w:val="0"/>
  </w:style>
  <w:style w:type="character" w:customStyle="1" w:styleId="22">
    <w:name w:val="pubdate-month"/>
    <w:basedOn w:val="10"/>
    <w:qFormat/>
    <w:uiPriority w:val="0"/>
    <w:rPr>
      <w:color w:val="FFFFFF"/>
      <w:sz w:val="24"/>
      <w:szCs w:val="24"/>
      <w:shd w:val="clear" w:color="auto" w:fill="CC0000"/>
    </w:rPr>
  </w:style>
  <w:style w:type="character" w:customStyle="1" w:styleId="23">
    <w:name w:val="页眉 Char"/>
    <w:basedOn w:val="10"/>
    <w:link w:val="8"/>
    <w:uiPriority w:val="0"/>
    <w:rPr>
      <w:rFonts w:ascii="宋体" w:hAnsi="宋体" w:cs="宋体"/>
      <w:sz w:val="18"/>
      <w:szCs w:val="18"/>
      <w:lang w:val="zh-CN" w:bidi="zh-CN"/>
    </w:rPr>
  </w:style>
  <w:style w:type="character" w:customStyle="1" w:styleId="24">
    <w:name w:val="页脚 Char"/>
    <w:basedOn w:val="10"/>
    <w:link w:val="7"/>
    <w:uiPriority w:val="0"/>
    <w:rPr>
      <w:rFonts w:ascii="宋体" w:hAnsi="宋体" w:cs="宋体"/>
      <w:sz w:val="18"/>
      <w:szCs w:val="18"/>
      <w:lang w:val="zh-CN" w:bidi="zh-CN"/>
    </w:rPr>
  </w:style>
  <w:style w:type="character" w:customStyle="1" w:styleId="25">
    <w:name w:val="批注框文本 Char"/>
    <w:basedOn w:val="10"/>
    <w:link w:val="6"/>
    <w:uiPriority w:val="0"/>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53"/>
    <customShpInfo spid="_x0000_s2052"/>
    <customShpInfo spid="_x0000_s205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Pages>
  <Words>2937</Words>
  <Characters>3164</Characters>
  <Lines>25</Lines>
  <Paragraphs>7</Paragraphs>
  <TotalTime>0</TotalTime>
  <ScaleCrop>false</ScaleCrop>
  <LinksUpToDate>false</LinksUpToDate>
  <CharactersWithSpaces>3380</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2022-12-28T00:51:00Z</dcterms:created>
  <dc:creator>joycornwu</dc:creator>
  <cp:lastModifiedBy>Achilles1423656765</cp:lastModifiedBy>
  <cp:lastPrinted>2018-05-07T07:12:00Z</cp:lastPrinted>
  <dcterms:modified xsi:type="dcterms:W3CDTF">2022-12-28T02:04:50Z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2018-03-30T00:00:00Z</vt:filetime>
  </property>
  <property fmtid="{D5CDD505-2E9C-101B-9397-08002B2CF9AE}" pid="3" name="Creator">
    <vt:lpwstr>Microsoft® Excel® 2013</vt:lpwstr>
  </property>
  <property fmtid="{D5CDD505-2E9C-101B-9397-08002B2CF9AE}" pid="4" name="LastSaved">
    <vt:filetime>2018-04-03T00:00:00Z</vt:filetime>
  </property>
  <property fmtid="{D5CDD505-2E9C-101B-9397-08002B2CF9AE}" pid="5" name="KSOProductBuildVer">
    <vt:lpwstr>2052-11.1.0.12970</vt:lpwstr>
  </property>
  <property fmtid="{D5CDD505-2E9C-101B-9397-08002B2CF9AE}" pid="6" name="ICV">
    <vt:lpwstr>7CA1E2EDAE6E4D0B89A730027E763092</vt:lpwstr>
  </property>
</Properties>
</file>